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eastAsiaTheme="minorEastAsia"/>
          <w:sz w:val="36"/>
          <w:szCs w:val="44"/>
          <w:lang w:eastAsia="zh-CN"/>
        </w:rPr>
      </w:pPr>
    </w:p>
    <w:p>
      <w:pPr>
        <w:pStyle w:val="3"/>
        <w:bidi w:val="0"/>
        <w:outlineLvl w:val="9"/>
        <w:rPr>
          <w:rFonts w:hint="default" w:ascii="Times New Roman" w:hAnsi="Times New Roman" w:cs="Times New Roman"/>
          <w:lang w:eastAsia="zh-CN"/>
        </w:rPr>
      </w:pPr>
    </w:p>
    <w:p>
      <w:pPr>
        <w:pStyle w:val="3"/>
        <w:bidi w:val="0"/>
        <w:jc w:val="center"/>
        <w:rPr>
          <w:rFonts w:hint="default" w:ascii="Times New Roman" w:hAnsi="Times New Roman" w:cs="Times New Roman"/>
          <w:sz w:val="48"/>
          <w:szCs w:val="28"/>
          <w:lang w:eastAsia="zh-CN"/>
        </w:rPr>
      </w:pPr>
      <w:bookmarkStart w:id="0" w:name="_Toc6788"/>
      <w:bookmarkStart w:id="1" w:name="_Toc13927"/>
      <w:bookmarkStart w:id="2" w:name="_Toc27347"/>
      <w:bookmarkStart w:id="3" w:name="_Toc4625"/>
      <w:r>
        <w:rPr>
          <w:rFonts w:hint="default" w:ascii="Times New Roman" w:hAnsi="Times New Roman" w:cs="Times New Roman"/>
          <w:sz w:val="48"/>
          <w:szCs w:val="28"/>
          <w:lang w:eastAsia="zh-CN"/>
        </w:rPr>
        <w:t>新乡市俊业新材料有限公司（第一轮）</w:t>
      </w:r>
      <w:bookmarkEnd w:id="0"/>
      <w:bookmarkEnd w:id="1"/>
      <w:bookmarkEnd w:id="2"/>
      <w:bookmarkEnd w:id="3"/>
    </w:p>
    <w:p>
      <w:pPr>
        <w:pStyle w:val="3"/>
        <w:bidi w:val="0"/>
        <w:jc w:val="center"/>
        <w:rPr>
          <w:rFonts w:hint="default" w:ascii="Times New Roman" w:hAnsi="Times New Roman" w:cs="Times New Roman"/>
          <w:lang w:eastAsia="zh-CN"/>
        </w:rPr>
      </w:pPr>
      <w:bookmarkStart w:id="4" w:name="_Toc22410"/>
      <w:bookmarkStart w:id="5" w:name="_Toc27103"/>
      <w:bookmarkStart w:id="6" w:name="_Toc14045"/>
      <w:bookmarkStart w:id="7" w:name="_Toc20868"/>
      <w:bookmarkStart w:id="8" w:name="_Toc29018"/>
      <w:bookmarkStart w:id="9" w:name="_Toc23945"/>
      <w:bookmarkStart w:id="10" w:name="_Toc31422"/>
      <w:bookmarkStart w:id="11" w:name="_Toc8615"/>
      <w:bookmarkStart w:id="12" w:name="_Toc31288"/>
      <w:bookmarkStart w:id="13" w:name="_Toc16212"/>
      <w:bookmarkStart w:id="14" w:name="_Toc7019"/>
      <w:bookmarkStart w:id="15" w:name="_Toc21220"/>
      <w:r>
        <w:rPr>
          <w:rFonts w:hint="default" w:ascii="Times New Roman" w:hAnsi="Times New Roman" w:cs="Times New Roman"/>
          <w:lang w:eastAsia="zh-CN"/>
        </w:rPr>
        <w:t>清洁生产审核验收报告</w:t>
      </w:r>
      <w:r>
        <w:rPr>
          <w:rFonts w:hint="default" w:ascii="Times New Roman" w:hAnsi="Times New Roman" w:cs="Times New Roman"/>
          <w:lang w:eastAsia="zh-CN"/>
        </w:rPr>
        <w:br w:type="textWrapping"/>
      </w:r>
      <w:r>
        <w:rPr>
          <w:rFonts w:hint="default" w:ascii="Times New Roman" w:hAnsi="Times New Roman" w:cs="Times New Roman"/>
          <w:lang w:eastAsia="zh-CN"/>
        </w:rPr>
        <w:t>（送审版）</w:t>
      </w:r>
      <w:bookmarkEnd w:id="4"/>
      <w:bookmarkEnd w:id="5"/>
      <w:bookmarkEnd w:id="6"/>
      <w:bookmarkEnd w:id="7"/>
      <w:bookmarkEnd w:id="8"/>
      <w:bookmarkEnd w:id="9"/>
      <w:bookmarkEnd w:id="10"/>
      <w:bookmarkEnd w:id="11"/>
      <w:bookmarkEnd w:id="12"/>
      <w:bookmarkEnd w:id="13"/>
      <w:bookmarkEnd w:id="14"/>
      <w:bookmarkEnd w:id="15"/>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jc w:val="center"/>
        <w:rPr>
          <w:rFonts w:hint="default" w:ascii="Times New Roman" w:hAnsi="Times New Roman" w:cs="Times New Roman"/>
          <w:b/>
          <w:bCs/>
          <w:sz w:val="28"/>
          <w:szCs w:val="36"/>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b/>
          <w:bCs/>
          <w:sz w:val="28"/>
          <w:szCs w:val="36"/>
          <w:lang w:eastAsia="zh-CN"/>
        </w:rPr>
        <w:t>送审单位：新乡市俊业新材料有限公司</w:t>
      </w:r>
      <w:r>
        <w:rPr>
          <w:rFonts w:hint="default" w:ascii="Times New Roman" w:hAnsi="Times New Roman" w:cs="Times New Roman"/>
          <w:b/>
          <w:bCs/>
          <w:sz w:val="28"/>
          <w:szCs w:val="36"/>
          <w:lang w:eastAsia="zh-CN"/>
        </w:rPr>
        <w:br w:type="textWrapping"/>
      </w:r>
      <w:r>
        <w:rPr>
          <w:rFonts w:hint="default" w:ascii="Times New Roman" w:hAnsi="Times New Roman" w:cs="Times New Roman"/>
          <w:b/>
          <w:bCs/>
          <w:sz w:val="28"/>
          <w:szCs w:val="36"/>
          <w:lang w:eastAsia="zh-CN"/>
        </w:rPr>
        <w:t>咨询单位：河南睿嘉环保科技有限责任公司</w:t>
      </w:r>
      <w:r>
        <w:rPr>
          <w:rFonts w:hint="default" w:ascii="Times New Roman" w:hAnsi="Times New Roman" w:cs="Times New Roman"/>
          <w:b/>
          <w:bCs/>
          <w:sz w:val="28"/>
          <w:szCs w:val="36"/>
          <w:lang w:eastAsia="zh-CN"/>
        </w:rPr>
        <w:br w:type="textWrapping"/>
      </w:r>
      <w:r>
        <w:rPr>
          <w:rFonts w:hint="default" w:ascii="Times New Roman" w:hAnsi="Times New Roman" w:cs="Times New Roman"/>
          <w:b/>
          <w:bCs/>
          <w:sz w:val="28"/>
          <w:szCs w:val="36"/>
          <w:lang w:eastAsia="zh-CN"/>
        </w:rPr>
        <w:t>二零二二年</w:t>
      </w:r>
      <w:r>
        <w:rPr>
          <w:rFonts w:hint="eastAsia" w:ascii="Times New Roman" w:hAnsi="Times New Roman" w:cs="Times New Roman"/>
          <w:b/>
          <w:bCs/>
          <w:sz w:val="28"/>
          <w:szCs w:val="36"/>
          <w:lang w:eastAsia="zh-CN"/>
        </w:rPr>
        <w:t>八</w:t>
      </w:r>
      <w:r>
        <w:rPr>
          <w:rFonts w:hint="default" w:ascii="Times New Roman" w:hAnsi="Times New Roman" w:cs="Times New Roman"/>
          <w:b/>
          <w:bCs/>
          <w:sz w:val="28"/>
          <w:szCs w:val="36"/>
          <w:lang w:eastAsia="zh-CN"/>
        </w:rPr>
        <w:t>月</w:t>
      </w:r>
    </w:p>
    <w:p>
      <w:pPr>
        <w:jc w:val="center"/>
        <w:rPr>
          <w:rFonts w:hint="default" w:ascii="Times New Roman" w:hAnsi="Times New Roman" w:cs="Times New Roman"/>
          <w:b/>
          <w:bCs/>
          <w:sz w:val="28"/>
          <w:szCs w:val="36"/>
          <w:vertAlign w:val="baseline"/>
          <w:lang w:eastAsia="zh-CN"/>
        </w:rPr>
      </w:pPr>
      <w:r>
        <w:rPr>
          <w:rFonts w:hint="default" w:ascii="Times New Roman" w:hAnsi="Times New Roman" w:cs="Times New Roman"/>
          <w:b/>
          <w:bCs/>
          <w:sz w:val="28"/>
          <w:szCs w:val="36"/>
          <w:vertAlign w:val="baseline"/>
          <w:lang w:eastAsia="zh-CN"/>
        </w:rPr>
        <w:t>审核企业基本情况</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9"/>
        <w:gridCol w:w="6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企业名称</w:t>
            </w:r>
          </w:p>
        </w:tc>
        <w:tc>
          <w:tcPr>
            <w:tcW w:w="6563"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新乡市俊业新材料有限公司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企业性质</w:t>
            </w:r>
          </w:p>
        </w:tc>
        <w:tc>
          <w:tcPr>
            <w:tcW w:w="6563"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法人代表</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color w:val="000000" w:themeColor="text1"/>
                <w:sz w:val="28"/>
                <w:szCs w:val="28"/>
                <w:vertAlign w:val="baseline"/>
                <w:lang w:eastAsia="zh-CN"/>
                <w14:textFill>
                  <w14:solidFill>
                    <w14:schemeClr w14:val="tx1"/>
                  </w14:solidFill>
                </w14:textFill>
              </w:rPr>
              <w:t>岳永军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联系人及电话</w:t>
            </w:r>
          </w:p>
        </w:tc>
        <w:tc>
          <w:tcPr>
            <w:tcW w:w="6563" w:type="dxa"/>
            <w:vAlign w:val="center"/>
          </w:tcPr>
          <w:p>
            <w:pPr>
              <w:spacing w:line="240" w:lineRule="auto"/>
              <w:jc w:val="center"/>
              <w:rPr>
                <w:rFonts w:hint="default" w:ascii="Times New Roman" w:hAnsi="Times New Roman" w:cs="Times New Roman"/>
                <w:b/>
                <w:bCs/>
                <w:color w:val="000000" w:themeColor="text1"/>
                <w:sz w:val="28"/>
                <w:szCs w:val="28"/>
                <w:vertAlign w:val="baseline"/>
                <w:lang w:eastAsia="zh-CN"/>
                <w14:textFill>
                  <w14:solidFill>
                    <w14:schemeClr w14:val="tx1"/>
                  </w14:solidFill>
                </w14:textFill>
              </w:rPr>
            </w:pPr>
            <w:r>
              <w:rPr>
                <w:rFonts w:hint="default" w:ascii="Times New Roman" w:hAnsi="Times New Roman" w:cs="Times New Roman"/>
                <w:b/>
                <w:bCs/>
                <w:color w:val="000000" w:themeColor="text1"/>
                <w:sz w:val="28"/>
                <w:szCs w:val="28"/>
                <w:vertAlign w:val="baseline"/>
                <w:lang w:val="en-US" w:eastAsia="zh-CN"/>
                <w14:textFill>
                  <w14:solidFill>
                    <w14:schemeClr w14:val="tx1"/>
                  </w14:solidFill>
                </w14:textFill>
              </w:rPr>
              <w:t>琚新春13603933787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行业类型</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t>C3660金属表面处理及热处理加工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建设日期</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t>2013年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生产能力</w:t>
            </w:r>
          </w:p>
        </w:tc>
        <w:tc>
          <w:tcPr>
            <w:tcW w:w="6563"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年产冲孔镀镍钢带240吨、钢壳8000万只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主要产品</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eastAsia="zh-CN"/>
              </w:rPr>
              <w:t>冲孔镀镍钢带、钢壳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占地面积</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t>6700平方米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具体地址</w:t>
            </w:r>
          </w:p>
        </w:tc>
        <w:tc>
          <w:tcPr>
            <w:tcW w:w="6563"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新乡市牧野区西马坊村北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邮政编码</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t>453000</w:t>
            </w:r>
          </w:p>
        </w:tc>
      </w:tr>
    </w:tbl>
    <w:p>
      <w:pPr>
        <w:pStyle w:val="20"/>
        <w:rPr>
          <w:rFonts w:hint="default" w:ascii="Times New Roman" w:hAnsi="Times New Roman" w:cs="Times New Roman"/>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widowControl/>
        <w:numPr>
          <w:ilvl w:val="0"/>
          <w:numId w:val="0"/>
        </w:numPr>
        <w:suppressLineNumbers w:val="0"/>
        <w:spacing w:line="360" w:lineRule="auto"/>
        <w:ind w:firstLine="560" w:firstLineChars="200"/>
        <w:jc w:val="center"/>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报告真实完整性承诺</w:t>
      </w:r>
    </w:p>
    <w:p>
      <w:pPr>
        <w:keepNext w:val="0"/>
        <w:keepLines w:val="0"/>
        <w:widowControl/>
        <w:numPr>
          <w:ilvl w:val="0"/>
          <w:numId w:val="0"/>
        </w:numPr>
        <w:suppressLineNumbers w:val="0"/>
        <w:spacing w:line="360" w:lineRule="auto"/>
        <w:ind w:firstLine="560" w:firstLineChars="200"/>
        <w:jc w:val="center"/>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eastAsia="zh-CN"/>
        </w:rPr>
        <w:t>新乡市俊业新材料有限公司</w:t>
      </w:r>
      <w:r>
        <w:rPr>
          <w:rFonts w:hint="default" w:ascii="Times New Roman" w:hAnsi="Times New Roman" w:cs="Times New Roman"/>
          <w:b w:val="0"/>
          <w:bCs w:val="0"/>
          <w:sz w:val="28"/>
          <w:szCs w:val="28"/>
          <w:vertAlign w:val="baseline"/>
          <w:lang w:val="en-US" w:eastAsia="zh-CN"/>
        </w:rPr>
        <w:t>（第一轮）</w:t>
      </w:r>
    </w:p>
    <w:p>
      <w:pPr>
        <w:keepNext w:val="0"/>
        <w:keepLines w:val="0"/>
        <w:widowControl/>
        <w:numPr>
          <w:ilvl w:val="0"/>
          <w:numId w:val="0"/>
        </w:numPr>
        <w:suppressLineNumbers w:val="0"/>
        <w:spacing w:line="360" w:lineRule="auto"/>
        <w:ind w:firstLine="560" w:firstLineChars="200"/>
        <w:jc w:val="center"/>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清洁生产审核</w:t>
      </w:r>
      <w:r>
        <w:rPr>
          <w:rFonts w:hint="eastAsia" w:ascii="Times New Roman" w:hAnsi="Times New Roman" w:cs="Times New Roman"/>
          <w:b w:val="0"/>
          <w:bCs w:val="0"/>
          <w:sz w:val="28"/>
          <w:szCs w:val="28"/>
          <w:vertAlign w:val="baseline"/>
          <w:lang w:val="en-US" w:eastAsia="zh-CN"/>
        </w:rPr>
        <w:t>验收</w:t>
      </w:r>
      <w:r>
        <w:rPr>
          <w:rFonts w:hint="default" w:ascii="Times New Roman" w:hAnsi="Times New Roman" w:cs="Times New Roman"/>
          <w:b w:val="0"/>
          <w:bCs w:val="0"/>
          <w:sz w:val="28"/>
          <w:szCs w:val="28"/>
          <w:vertAlign w:val="baseline"/>
          <w:lang w:val="en-US" w:eastAsia="zh-CN"/>
        </w:rPr>
        <w:t>报告备案版</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审核单位：新乡市俊业新材料有限公司（盖章）</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清洁生产审核领导小组组长（签字）：</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新乡市俊业新材料有限公司承诺：</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我公司对本报告的真实性和完整性负责；本报告内容未经我公司同意不得公开。</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咨询单位：河南睿嘉环保科技有限责任公司（盖章）</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在审核单位提供基础资料真实、完整的基础上，我们对编制本报告的真实性和完整性负责，本报告内容未经我单位同意不得公开。</w:t>
      </w:r>
    </w:p>
    <w:p>
      <w:pPr>
        <w:spacing w:line="240" w:lineRule="auto"/>
        <w:jc w:val="center"/>
        <w:rPr>
          <w:rFonts w:hint="default" w:ascii="Times New Roman" w:hAnsi="Times New Roman" w:cs="Times New Roman"/>
          <w:b w:val="0"/>
          <w:bCs w:val="0"/>
          <w:sz w:val="28"/>
          <w:szCs w:val="36"/>
          <w:lang w:eastAsia="zh-CN"/>
        </w:rPr>
      </w:pPr>
      <w:r>
        <w:rPr>
          <w:rFonts w:hint="default" w:ascii="Times New Roman" w:hAnsi="Times New Roman" w:cs="Times New Roman"/>
          <w:b w:val="0"/>
          <w:bCs w:val="0"/>
          <w:sz w:val="28"/>
          <w:szCs w:val="36"/>
          <w:lang w:eastAsia="zh-CN"/>
        </w:rPr>
        <w:t>清洁生产审核咨询小组名单</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429"/>
        <w:gridCol w:w="2865"/>
        <w:gridCol w:w="18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姓名</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审核师证书编号</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职责分工</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签名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贾保军</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E029957</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eastAsia="zh-CN"/>
              </w:rPr>
              <w:t>组长：审核</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杨伟</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E031843</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组员：校对</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刘红霞</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E029959</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组员：编制</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刘怡</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E029961</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组员：编制</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王渤雅</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E029962</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组员：编制</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刘强</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E029960</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组员：编制</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bl>
    <w:p>
      <w:pPr>
        <w:jc w:val="both"/>
        <w:rPr>
          <w:rFonts w:hint="default" w:ascii="Times New Roman" w:hAnsi="Times New Roman" w:cs="Times New Roman"/>
          <w:b w:val="0"/>
          <w:bCs w:val="0"/>
          <w:sz w:val="28"/>
          <w:szCs w:val="36"/>
          <w:lang w:val="en-US" w:eastAsia="zh-CN"/>
        </w:rPr>
      </w:pPr>
      <w:r>
        <w:rPr>
          <w:rFonts w:hint="default" w:ascii="Times New Roman" w:hAnsi="Times New Roman" w:cs="Times New Roman"/>
          <w:b w:val="0"/>
          <w:bCs w:val="0"/>
          <w:sz w:val="28"/>
          <w:szCs w:val="36"/>
          <w:lang w:eastAsia="zh-CN"/>
        </w:rPr>
        <w:t>报告编制人：</w:t>
      </w:r>
      <w:r>
        <w:rPr>
          <w:rFonts w:hint="default" w:ascii="Times New Roman" w:hAnsi="Times New Roman" w:cs="Times New Roman"/>
          <w:b w:val="0"/>
          <w:bCs w:val="0"/>
          <w:sz w:val="28"/>
          <w:szCs w:val="36"/>
          <w:lang w:val="en-US" w:eastAsia="zh-CN"/>
        </w:rPr>
        <w:t xml:space="preserve">             技术负责人：        审核人：</w:t>
      </w: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0"/>
        <w:ind w:left="0" w:leftChars="0" w:firstLine="0" w:firstLineChars="0"/>
        <w:jc w:val="center"/>
        <w:rPr>
          <w:rFonts w:hint="default" w:ascii="Times New Roman" w:hAnsi="Times New Roman" w:cs="Times New Roman"/>
          <w:lang w:eastAsia="zh-CN"/>
        </w:rPr>
        <w:sectPr>
          <w:pgSz w:w="16838" w:h="11906" w:orient="landscape"/>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lang w:eastAsia="zh-CN"/>
        </w:rPr>
        <w:drawing>
          <wp:inline distT="0" distB="0" distL="114300" distR="114300">
            <wp:extent cx="2087880" cy="3060065"/>
            <wp:effectExtent l="0" t="0" r="6985" b="7620"/>
            <wp:docPr id="107" name="图片 107" descr="doc00442120211206112641_001"/>
            <wp:cNvGraphicFramePr/>
            <a:graphic xmlns:a="http://schemas.openxmlformats.org/drawingml/2006/main">
              <a:graphicData uri="http://schemas.openxmlformats.org/drawingml/2006/picture">
                <pic:pic xmlns:pic="http://schemas.openxmlformats.org/drawingml/2006/picture">
                  <pic:nvPicPr>
                    <pic:cNvPr id="107" name="图片 107" descr="doc00442120211206112641_001"/>
                    <pic:cNvPicPr/>
                  </pic:nvPicPr>
                  <pic:blipFill>
                    <a:blip r:embed="rId6"/>
                    <a:srcRect l="13603" b="9930"/>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3" name="图片 103" descr="doc00441720211206112539_001"/>
            <wp:cNvGraphicFramePr/>
            <a:graphic xmlns:a="http://schemas.openxmlformats.org/drawingml/2006/main">
              <a:graphicData uri="http://schemas.openxmlformats.org/drawingml/2006/picture">
                <pic:pic xmlns:pic="http://schemas.openxmlformats.org/drawingml/2006/picture">
                  <pic:nvPicPr>
                    <pic:cNvPr id="103" name="图片 103" descr="doc00441720211206112539_001"/>
                    <pic:cNvPicPr/>
                  </pic:nvPicPr>
                  <pic:blipFill>
                    <a:blip r:embed="rId7"/>
                    <a:srcRect l="12506" b="9664"/>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4" name="图片 104" descr="doc00441820211206112553_001"/>
            <wp:cNvGraphicFramePr/>
            <a:graphic xmlns:a="http://schemas.openxmlformats.org/drawingml/2006/main">
              <a:graphicData uri="http://schemas.openxmlformats.org/drawingml/2006/picture">
                <pic:pic xmlns:pic="http://schemas.openxmlformats.org/drawingml/2006/picture">
                  <pic:nvPicPr>
                    <pic:cNvPr id="104" name="图片 104" descr="doc00441820211206112553_001"/>
                    <pic:cNvPicPr/>
                  </pic:nvPicPr>
                  <pic:blipFill>
                    <a:blip r:embed="rId8"/>
                    <a:srcRect l="13529" b="9845"/>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5" name="图片 105" descr="doc00441920211206112609_001"/>
            <wp:cNvGraphicFramePr/>
            <a:graphic xmlns:a="http://schemas.openxmlformats.org/drawingml/2006/main">
              <a:graphicData uri="http://schemas.openxmlformats.org/drawingml/2006/picture">
                <pic:pic xmlns:pic="http://schemas.openxmlformats.org/drawingml/2006/picture">
                  <pic:nvPicPr>
                    <pic:cNvPr id="105" name="图片 105" descr="doc00441920211206112609_001"/>
                    <pic:cNvPicPr/>
                  </pic:nvPicPr>
                  <pic:blipFill>
                    <a:blip r:embed="rId9"/>
                    <a:srcRect l="13478" b="9664"/>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8" name="图片 108" descr="doc00442220211206112656_001"/>
            <wp:cNvGraphicFramePr/>
            <a:graphic xmlns:a="http://schemas.openxmlformats.org/drawingml/2006/main">
              <a:graphicData uri="http://schemas.openxmlformats.org/drawingml/2006/picture">
                <pic:pic xmlns:pic="http://schemas.openxmlformats.org/drawingml/2006/picture">
                  <pic:nvPicPr>
                    <pic:cNvPr id="108" name="图片 108" descr="doc00442220211206112656_001"/>
                    <pic:cNvPicPr/>
                  </pic:nvPicPr>
                  <pic:blipFill>
                    <a:blip r:embed="rId10"/>
                    <a:srcRect l="13133" b="10096"/>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6" name="图片 106" descr="doc00442020211206112626_001"/>
            <wp:cNvGraphicFramePr/>
            <a:graphic xmlns:a="http://schemas.openxmlformats.org/drawingml/2006/main">
              <a:graphicData uri="http://schemas.openxmlformats.org/drawingml/2006/picture">
                <pic:pic xmlns:pic="http://schemas.openxmlformats.org/drawingml/2006/picture">
                  <pic:nvPicPr>
                    <pic:cNvPr id="106" name="图片 106" descr="doc00442020211206112626_001"/>
                    <pic:cNvPicPr/>
                  </pic:nvPicPr>
                  <pic:blipFill>
                    <a:blip r:embed="rId11"/>
                    <a:srcRect l="13134" b="9398"/>
                    <a:stretch>
                      <a:fillRect/>
                    </a:stretch>
                  </pic:blipFill>
                  <pic:spPr>
                    <a:xfrm rot="16200000">
                      <a:off x="0" y="0"/>
                      <a:ext cx="2087880" cy="3060065"/>
                    </a:xfrm>
                    <a:prstGeom prst="rect">
                      <a:avLst/>
                    </a:prstGeom>
                  </pic:spPr>
                </pic:pic>
              </a:graphicData>
            </a:graphic>
          </wp:inline>
        </w:drawing>
      </w:r>
    </w:p>
    <w:p>
      <w:pPr>
        <w:rPr>
          <w:rFonts w:hint="default" w:ascii="Times New Roman" w:hAnsi="Times New Roman" w:cs="Times New Roman"/>
          <w:lang w:eastAsia="zh-CN"/>
        </w:rPr>
      </w:pPr>
    </w:p>
    <w:p>
      <w:pPr>
        <w:jc w:val="center"/>
        <w:rPr>
          <w:rFonts w:hint="default" w:ascii="Times New Roman" w:hAnsi="Times New Roman" w:cs="Times New Roman"/>
          <w:b/>
          <w:bCs/>
          <w:sz w:val="28"/>
          <w:szCs w:val="36"/>
          <w:lang w:eastAsia="zh-CN"/>
        </w:rPr>
      </w:pPr>
      <w:r>
        <w:rPr>
          <w:rFonts w:hint="default" w:ascii="Times New Roman" w:hAnsi="Times New Roman" w:cs="Times New Roman"/>
          <w:b/>
          <w:bCs/>
          <w:sz w:val="28"/>
          <w:szCs w:val="36"/>
          <w:lang w:eastAsia="zh-CN"/>
        </w:rPr>
        <w:drawing>
          <wp:anchor distT="0" distB="0" distL="114300" distR="114300" simplePos="0" relativeHeight="251678720" behindDoc="0" locked="0" layoutInCell="1" allowOverlap="1">
            <wp:simplePos x="0" y="0"/>
            <wp:positionH relativeFrom="column">
              <wp:posOffset>-2578735</wp:posOffset>
            </wp:positionH>
            <wp:positionV relativeFrom="paragraph">
              <wp:posOffset>728345</wp:posOffset>
            </wp:positionV>
            <wp:extent cx="10450830" cy="7390765"/>
            <wp:effectExtent l="0" t="0" r="635" b="7620"/>
            <wp:wrapNone/>
            <wp:docPr id="4" name="图片 4" descr="田慧丽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田慧丽 (2)"/>
                    <pic:cNvPicPr>
                      <a:picLocks noChangeAspect="1"/>
                    </pic:cNvPicPr>
                  </pic:nvPicPr>
                  <pic:blipFill>
                    <a:blip r:embed="rId12"/>
                    <a:stretch>
                      <a:fillRect/>
                    </a:stretch>
                  </pic:blipFill>
                  <pic:spPr>
                    <a:xfrm rot="5400000">
                      <a:off x="0" y="0"/>
                      <a:ext cx="10450830" cy="7390765"/>
                    </a:xfrm>
                    <a:prstGeom prst="rect">
                      <a:avLst/>
                    </a:prstGeom>
                  </pic:spPr>
                </pic:pic>
              </a:graphicData>
            </a:graphic>
          </wp:anchor>
        </w:drawing>
      </w:r>
    </w:p>
    <w:p>
      <w:pPr>
        <w:jc w:val="center"/>
        <w:rPr>
          <w:rFonts w:hint="default" w:ascii="Times New Roman" w:hAnsi="Times New Roman" w:cs="Times New Roman"/>
          <w:b/>
          <w:bCs/>
          <w:sz w:val="28"/>
          <w:szCs w:val="36"/>
          <w:lang w:eastAsia="zh-CN"/>
        </w:rPr>
      </w:pPr>
    </w:p>
    <w:p>
      <w:pPr>
        <w:pStyle w:val="3"/>
        <w:bidi w:val="0"/>
        <w:jc w:val="center"/>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rPr>
          <w:rFonts w:hint="default" w:ascii="Times New Roman" w:hAnsi="Times New Roman" w:cs="Times New Roman"/>
          <w:lang w:eastAsia="zh-CN"/>
        </w:rPr>
      </w:pPr>
    </w:p>
    <w:p>
      <w:pPr>
        <w:pStyle w:val="20"/>
        <w:rPr>
          <w:rFonts w:hint="default" w:ascii="Times New Roman" w:hAnsi="Times New Roman" w:cs="Times New Roman"/>
          <w:lang w:eastAsia="zh-CN"/>
        </w:rPr>
      </w:pPr>
    </w:p>
    <w:p>
      <w:pPr>
        <w:pStyle w:val="3"/>
        <w:bidi w:val="0"/>
        <w:jc w:val="center"/>
        <w:rPr>
          <w:rFonts w:hint="default" w:ascii="Times New Roman" w:hAnsi="Times New Roman" w:cs="Times New Roman"/>
          <w:lang w:eastAsia="zh-CN"/>
        </w:rPr>
      </w:pPr>
      <w:bookmarkStart w:id="16" w:name="_Toc4434"/>
      <w:bookmarkStart w:id="17" w:name="_Toc15994"/>
      <w:bookmarkStart w:id="18" w:name="_Toc13247"/>
      <w:bookmarkStart w:id="19" w:name="_Toc14656"/>
      <w:bookmarkStart w:id="20" w:name="_Toc28166"/>
      <w:bookmarkStart w:id="21" w:name="_Toc12711"/>
      <w:r>
        <w:rPr>
          <w:rFonts w:hint="default" w:ascii="Times New Roman" w:hAnsi="Times New Roman" w:cs="Times New Roman"/>
          <w:lang w:eastAsia="zh-CN"/>
        </w:rPr>
        <w:t>总结</w:t>
      </w:r>
      <w:bookmarkEnd w:id="16"/>
      <w:bookmarkEnd w:id="17"/>
      <w:bookmarkEnd w:id="18"/>
      <w:bookmarkEnd w:id="19"/>
      <w:bookmarkEnd w:id="20"/>
      <w:bookmarkEnd w:id="21"/>
    </w:p>
    <w:p>
      <w:pPr>
        <w:jc w:val="both"/>
        <w:rPr>
          <w:rFonts w:hint="default" w:ascii="Times New Roman" w:hAnsi="Times New Roman" w:cs="Times New Roman"/>
          <w:b/>
          <w:bCs/>
          <w:sz w:val="28"/>
          <w:szCs w:val="36"/>
          <w:lang w:eastAsia="zh-CN"/>
        </w:rPr>
      </w:pPr>
      <w:r>
        <w:rPr>
          <w:rFonts w:hint="default" w:ascii="Times New Roman" w:hAnsi="Times New Roman" w:cs="Times New Roman"/>
          <w:b/>
          <w:bCs/>
          <w:sz w:val="28"/>
          <w:szCs w:val="36"/>
          <w:lang w:eastAsia="zh-CN"/>
        </w:rPr>
        <w:t>一、审核背景</w:t>
      </w:r>
    </w:p>
    <w:p>
      <w:pPr>
        <w:spacing w:line="360" w:lineRule="auto"/>
        <w:ind w:firstLine="480" w:firstLineChars="200"/>
        <w:jc w:val="both"/>
        <w:rPr>
          <w:rFonts w:hint="default" w:ascii="Times New Roman" w:hAnsi="Times New Roman" w:cs="Times New Roman"/>
          <w:b w:val="0"/>
          <w:bCs w:val="0"/>
          <w:sz w:val="24"/>
          <w:szCs w:val="24"/>
          <w:highlight w:val="yellow"/>
          <w:lang w:eastAsia="zh-CN"/>
        </w:rPr>
      </w:pPr>
      <w:r>
        <w:rPr>
          <w:rFonts w:hint="default" w:ascii="Times New Roman" w:hAnsi="Times New Roman" w:cs="Times New Roman"/>
          <w:b w:val="0"/>
          <w:bCs w:val="0"/>
          <w:sz w:val="24"/>
          <w:szCs w:val="24"/>
          <w:lang w:eastAsia="zh-CN"/>
        </w:rPr>
        <w:t>新乡市俊业新材料有限公司成立</w:t>
      </w:r>
      <w:r>
        <w:rPr>
          <w:rFonts w:hint="default" w:ascii="Times New Roman" w:hAnsi="Times New Roman" w:cs="Times New Roman"/>
          <w:b w:val="0"/>
          <w:bCs w:val="0"/>
          <w:sz w:val="24"/>
          <w:szCs w:val="24"/>
          <w:highlight w:val="none"/>
          <w:lang w:eastAsia="zh-CN"/>
        </w:rPr>
        <w:t>于200</w:t>
      </w:r>
      <w:r>
        <w:rPr>
          <w:rFonts w:hint="default" w:ascii="Times New Roman" w:hAnsi="Times New Roman" w:cs="Times New Roman"/>
          <w:b w:val="0"/>
          <w:bCs w:val="0"/>
          <w:sz w:val="24"/>
          <w:szCs w:val="24"/>
          <w:highlight w:val="none"/>
          <w:lang w:val="en-US" w:eastAsia="zh-CN"/>
        </w:rPr>
        <w:t>2</w:t>
      </w:r>
      <w:r>
        <w:rPr>
          <w:rFonts w:hint="default" w:ascii="Times New Roman" w:hAnsi="Times New Roman" w:cs="Times New Roman"/>
          <w:b w:val="0"/>
          <w:bCs w:val="0"/>
          <w:sz w:val="24"/>
          <w:szCs w:val="24"/>
          <w:highlight w:val="none"/>
          <w:lang w:eastAsia="zh-CN"/>
        </w:rPr>
        <w:t>年</w:t>
      </w:r>
      <w:r>
        <w:rPr>
          <w:rFonts w:hint="default" w:ascii="Times New Roman" w:hAnsi="Times New Roman" w:cs="Times New Roman"/>
          <w:b w:val="0"/>
          <w:bCs w:val="0"/>
          <w:sz w:val="24"/>
          <w:szCs w:val="24"/>
          <w:highlight w:val="none"/>
          <w:lang w:val="en-US" w:eastAsia="zh-CN"/>
        </w:rPr>
        <w:t>11</w:t>
      </w:r>
      <w:r>
        <w:rPr>
          <w:rFonts w:hint="default" w:ascii="Times New Roman" w:hAnsi="Times New Roman" w:cs="Times New Roman"/>
          <w:b w:val="0"/>
          <w:bCs w:val="0"/>
          <w:sz w:val="24"/>
          <w:szCs w:val="24"/>
          <w:highlight w:val="none"/>
          <w:lang w:eastAsia="zh-CN"/>
        </w:rPr>
        <w:t>月</w:t>
      </w:r>
      <w:r>
        <w:rPr>
          <w:rFonts w:hint="default" w:ascii="Times New Roman" w:hAnsi="Times New Roman" w:cs="Times New Roman"/>
          <w:b w:val="0"/>
          <w:bCs w:val="0"/>
          <w:sz w:val="24"/>
          <w:szCs w:val="24"/>
          <w:highlight w:val="none"/>
          <w:lang w:val="en-US" w:eastAsia="zh-CN"/>
        </w:rPr>
        <w:t>11</w:t>
      </w:r>
      <w:r>
        <w:rPr>
          <w:rFonts w:hint="default" w:ascii="Times New Roman" w:hAnsi="Times New Roman" w:cs="Times New Roman"/>
          <w:b w:val="0"/>
          <w:bCs w:val="0"/>
          <w:sz w:val="24"/>
          <w:szCs w:val="24"/>
          <w:highlight w:val="none"/>
          <w:lang w:eastAsia="zh-CN"/>
        </w:rPr>
        <w:t>日，厂址位于新乡市牧野区西马坊村北，统一社会信用代码：91410711744079786Y，占地面积6700m</w:t>
      </w:r>
      <w:r>
        <w:rPr>
          <w:rFonts w:hint="default" w:ascii="Times New Roman" w:hAnsi="Times New Roman" w:cs="Times New Roman"/>
          <w:b w:val="0"/>
          <w:bCs w:val="0"/>
          <w:sz w:val="24"/>
          <w:szCs w:val="24"/>
          <w:highlight w:val="none"/>
          <w:vertAlign w:val="superscript"/>
          <w:lang w:eastAsia="zh-CN"/>
        </w:rPr>
        <w:t>2</w:t>
      </w:r>
      <w:r>
        <w:rPr>
          <w:rFonts w:hint="default" w:ascii="Times New Roman" w:hAnsi="Times New Roman" w:cs="Times New Roman"/>
          <w:b w:val="0"/>
          <w:bCs w:val="0"/>
          <w:sz w:val="24"/>
          <w:szCs w:val="24"/>
          <w:highlight w:val="none"/>
          <w:lang w:eastAsia="zh-CN"/>
        </w:rPr>
        <w:t>，注册资金316万元。20</w:t>
      </w:r>
      <w:r>
        <w:rPr>
          <w:rFonts w:hint="default" w:ascii="Times New Roman" w:hAnsi="Times New Roman" w:cs="Times New Roman"/>
          <w:b w:val="0"/>
          <w:bCs w:val="0"/>
          <w:sz w:val="24"/>
          <w:szCs w:val="24"/>
          <w:highlight w:val="none"/>
          <w:lang w:val="en-US" w:eastAsia="zh-CN"/>
        </w:rPr>
        <w:t>19</w:t>
      </w:r>
      <w:r>
        <w:rPr>
          <w:rFonts w:hint="default" w:ascii="Times New Roman" w:hAnsi="Times New Roman" w:cs="Times New Roman"/>
          <w:b w:val="0"/>
          <w:bCs w:val="0"/>
          <w:sz w:val="24"/>
          <w:szCs w:val="24"/>
          <w:highlight w:val="none"/>
          <w:lang w:eastAsia="zh-CN"/>
        </w:rPr>
        <w:t>年</w:t>
      </w:r>
      <w:r>
        <w:rPr>
          <w:rFonts w:hint="default" w:ascii="Times New Roman" w:hAnsi="Times New Roman" w:cs="Times New Roman"/>
          <w:b w:val="0"/>
          <w:bCs w:val="0"/>
          <w:sz w:val="24"/>
          <w:szCs w:val="24"/>
          <w:highlight w:val="none"/>
          <w:lang w:val="en-US" w:eastAsia="zh-CN"/>
        </w:rPr>
        <w:t>6</w:t>
      </w:r>
      <w:r>
        <w:rPr>
          <w:rFonts w:hint="default" w:ascii="Times New Roman" w:hAnsi="Times New Roman" w:cs="Times New Roman"/>
          <w:b w:val="0"/>
          <w:bCs w:val="0"/>
          <w:sz w:val="24"/>
          <w:szCs w:val="24"/>
          <w:highlight w:val="none"/>
          <w:lang w:eastAsia="zh-CN"/>
        </w:rPr>
        <w:t>月</w:t>
      </w:r>
      <w:r>
        <w:rPr>
          <w:rFonts w:hint="default" w:ascii="Times New Roman" w:hAnsi="Times New Roman" w:cs="Times New Roman"/>
          <w:b w:val="0"/>
          <w:bCs w:val="0"/>
          <w:sz w:val="24"/>
          <w:szCs w:val="24"/>
          <w:highlight w:val="none"/>
          <w:lang w:val="en-US" w:eastAsia="zh-CN"/>
        </w:rPr>
        <w:t>19日</w:t>
      </w:r>
      <w:r>
        <w:rPr>
          <w:rFonts w:hint="default" w:ascii="Times New Roman" w:hAnsi="Times New Roman" w:cs="Times New Roman"/>
          <w:b w:val="0"/>
          <w:bCs w:val="0"/>
          <w:sz w:val="24"/>
          <w:szCs w:val="24"/>
          <w:highlight w:val="none"/>
          <w:lang w:eastAsia="zh-CN"/>
        </w:rPr>
        <w:t>取得排污许可证，证书编号：91410711744079786Y001</w:t>
      </w:r>
      <w:r>
        <w:rPr>
          <w:rFonts w:hint="default" w:ascii="Times New Roman" w:hAnsi="Times New Roman" w:cs="Times New Roman"/>
          <w:b w:val="0"/>
          <w:bCs w:val="0"/>
          <w:sz w:val="24"/>
          <w:szCs w:val="24"/>
          <w:highlight w:val="none"/>
          <w:lang w:val="en-US" w:eastAsia="zh-CN"/>
        </w:rPr>
        <w:t>P</w:t>
      </w:r>
      <w:r>
        <w:rPr>
          <w:rFonts w:hint="default" w:ascii="Times New Roman" w:hAnsi="Times New Roman" w:cs="Times New Roman"/>
          <w:b w:val="0"/>
          <w:bCs w:val="0"/>
          <w:sz w:val="24"/>
          <w:szCs w:val="24"/>
          <w:highlight w:val="none"/>
          <w:lang w:eastAsia="zh-CN"/>
        </w:rPr>
        <w:t>。</w:t>
      </w:r>
    </w:p>
    <w:p>
      <w:pPr>
        <w:spacing w:line="360" w:lineRule="auto"/>
        <w:ind w:firstLine="480" w:firstLineChars="200"/>
        <w:jc w:val="both"/>
        <w:rPr>
          <w:rFonts w:hint="default" w:ascii="Times New Roman" w:hAnsi="Times New Roman" w:cs="Times New Roman"/>
          <w:b w:val="0"/>
          <w:bCs w:val="0"/>
          <w:sz w:val="24"/>
          <w:szCs w:val="24"/>
          <w:lang w:eastAsia="zh-CN"/>
        </w:rPr>
      </w:pPr>
      <w:r>
        <w:rPr>
          <w:rFonts w:hint="default" w:ascii="Times New Roman" w:hAnsi="Times New Roman" w:cs="Times New Roman"/>
          <w:b w:val="0"/>
          <w:bCs w:val="0"/>
          <w:sz w:val="24"/>
          <w:szCs w:val="24"/>
          <w:lang w:eastAsia="zh-CN"/>
        </w:rPr>
        <w:t>“新乡市俊业新材料有限公司年产冲孔镀镍钢带240吨、钢壳8000万只项目”于201</w:t>
      </w:r>
      <w:r>
        <w:rPr>
          <w:rFonts w:hint="default" w:ascii="Times New Roman" w:hAnsi="Times New Roman" w:cs="Times New Roman"/>
          <w:b w:val="0"/>
          <w:bCs w:val="0"/>
          <w:sz w:val="24"/>
          <w:szCs w:val="24"/>
          <w:lang w:val="en-US" w:eastAsia="zh-CN"/>
        </w:rPr>
        <w:t>3</w:t>
      </w:r>
      <w:r>
        <w:rPr>
          <w:rFonts w:hint="default" w:ascii="Times New Roman" w:hAnsi="Times New Roman" w:cs="Times New Roman"/>
          <w:b w:val="0"/>
          <w:bCs w:val="0"/>
          <w:sz w:val="24"/>
          <w:szCs w:val="24"/>
          <w:lang w:eastAsia="zh-CN"/>
        </w:rPr>
        <w:t>年</w:t>
      </w:r>
      <w:r>
        <w:rPr>
          <w:rFonts w:hint="default" w:ascii="Times New Roman" w:hAnsi="Times New Roman" w:cs="Times New Roman"/>
          <w:b w:val="0"/>
          <w:bCs w:val="0"/>
          <w:sz w:val="24"/>
          <w:szCs w:val="24"/>
          <w:lang w:val="en-US" w:eastAsia="zh-CN"/>
        </w:rPr>
        <w:t>6</w:t>
      </w:r>
      <w:r>
        <w:rPr>
          <w:rFonts w:hint="default" w:ascii="Times New Roman" w:hAnsi="Times New Roman" w:cs="Times New Roman"/>
          <w:b w:val="0"/>
          <w:bCs w:val="0"/>
          <w:sz w:val="24"/>
          <w:szCs w:val="24"/>
          <w:lang w:eastAsia="zh-CN"/>
        </w:rPr>
        <w:t>月建成并投用，建设前无环评手续。2016年</w:t>
      </w:r>
      <w:r>
        <w:rPr>
          <w:rFonts w:hint="default" w:ascii="Times New Roman" w:hAnsi="Times New Roman" w:cs="Times New Roman"/>
          <w:b w:val="0"/>
          <w:bCs w:val="0"/>
          <w:sz w:val="24"/>
          <w:szCs w:val="24"/>
          <w:highlight w:val="none"/>
          <w:lang w:eastAsia="zh-CN"/>
        </w:rPr>
        <w:t>4月，新乡市政府根据《河南省环境保护委员会办公室关于做好环保违法违规建设</w:t>
      </w:r>
      <w:r>
        <w:rPr>
          <w:rFonts w:hint="default" w:ascii="Times New Roman" w:hAnsi="Times New Roman" w:cs="Times New Roman"/>
          <w:b w:val="0"/>
          <w:bCs w:val="0"/>
          <w:sz w:val="24"/>
          <w:szCs w:val="24"/>
          <w:lang w:eastAsia="zh-CN"/>
        </w:rPr>
        <w:t>项目清理整改工作的实施意见（豫环委办【2016】22号）》的相关要求成立了整改环保违法违规建设项目领导小组，在清理活动中将该项目列入《环保违法违规建设项目名单》，2016年9月，该项目编制完成了《新乡市俊业新材料有限公司年产冲孔镀镍钢带240吨、钢壳8000万只项目现状环境影响评估报告》，</w:t>
      </w:r>
      <w:r>
        <w:rPr>
          <w:rFonts w:hint="default" w:ascii="Times New Roman" w:hAnsi="Times New Roman" w:cs="Times New Roman"/>
          <w:b w:val="0"/>
          <w:bCs w:val="0"/>
          <w:sz w:val="24"/>
          <w:szCs w:val="24"/>
          <w:highlight w:val="none"/>
          <w:lang w:eastAsia="zh-CN"/>
        </w:rPr>
        <w:t>申报与新乡市环境保护局牧野分局进行环保行政管理备案，备案号为牧环清改备第0</w:t>
      </w:r>
      <w:r>
        <w:rPr>
          <w:rFonts w:hint="default" w:ascii="Times New Roman" w:hAnsi="Times New Roman" w:cs="Times New Roman"/>
          <w:b w:val="0"/>
          <w:bCs w:val="0"/>
          <w:sz w:val="24"/>
          <w:szCs w:val="24"/>
          <w:highlight w:val="none"/>
          <w:lang w:val="en-US" w:eastAsia="zh-CN"/>
        </w:rPr>
        <w:t>2</w:t>
      </w:r>
      <w:r>
        <w:rPr>
          <w:rFonts w:hint="default" w:ascii="Times New Roman" w:hAnsi="Times New Roman" w:cs="Times New Roman"/>
          <w:b w:val="0"/>
          <w:bCs w:val="0"/>
          <w:sz w:val="24"/>
          <w:szCs w:val="24"/>
          <w:highlight w:val="none"/>
          <w:lang w:eastAsia="zh-CN"/>
        </w:rPr>
        <w:t>号</w:t>
      </w:r>
      <w:r>
        <w:rPr>
          <w:rFonts w:hint="default" w:ascii="Times New Roman" w:hAnsi="Times New Roman" w:cs="Times New Roman"/>
          <w:b w:val="0"/>
          <w:bCs w:val="0"/>
          <w:sz w:val="24"/>
          <w:szCs w:val="24"/>
          <w:lang w:eastAsia="zh-CN"/>
        </w:rPr>
        <w:t>。</w:t>
      </w:r>
    </w:p>
    <w:p>
      <w:pPr>
        <w:spacing w:line="360" w:lineRule="auto"/>
        <w:jc w:val="left"/>
        <w:rPr>
          <w:rFonts w:hint="default" w:ascii="Times New Roman" w:hAnsi="Times New Roman" w:cs="Times New Roman"/>
          <w:b w:val="0"/>
          <w:bCs w:val="0"/>
          <w:sz w:val="24"/>
          <w:szCs w:val="24"/>
          <w:lang w:eastAsia="zh-CN"/>
        </w:rPr>
      </w:pPr>
      <w:r>
        <w:rPr>
          <w:rFonts w:hint="default" w:ascii="Times New Roman" w:hAnsi="Times New Roman" w:cs="Times New Roman"/>
          <w:b w:val="0"/>
          <w:bCs w:val="0"/>
          <w:sz w:val="24"/>
          <w:szCs w:val="24"/>
          <w:lang w:eastAsia="zh-CN"/>
        </w:rPr>
        <w:t>二、审核过程简要说明</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4036"/>
        <w:gridCol w:w="1723"/>
        <w:gridCol w:w="16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u w:val="none"/>
                <w:vertAlign w:val="baseline"/>
                <w:lang w:eastAsia="zh-CN"/>
              </w:rPr>
            </w:pPr>
            <w:r>
              <w:rPr>
                <w:rFonts w:hint="default" w:ascii="Times New Roman" w:hAnsi="Times New Roman" w:cs="Times New Roman"/>
                <w:b w:val="0"/>
                <w:bCs/>
                <w:color w:val="auto"/>
                <w:sz w:val="21"/>
                <w:szCs w:val="21"/>
                <w:u w:val="none"/>
              </w:rPr>
              <w:t>阶段</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u w:val="none"/>
                <w:vertAlign w:val="baseline"/>
                <w:lang w:eastAsia="zh-CN"/>
              </w:rPr>
            </w:pPr>
            <w:r>
              <w:rPr>
                <w:rFonts w:hint="default" w:ascii="Times New Roman" w:hAnsi="Times New Roman" w:cs="Times New Roman"/>
                <w:b w:val="0"/>
                <w:bCs/>
                <w:color w:val="auto"/>
                <w:sz w:val="21"/>
                <w:szCs w:val="21"/>
                <w:u w:val="none"/>
                <w:lang w:eastAsia="zh-CN"/>
              </w:rPr>
              <w:t>工作内容</w:t>
            </w:r>
            <w:r>
              <w:rPr>
                <w:rFonts w:hint="default" w:ascii="Times New Roman" w:hAnsi="Times New Roman" w:cs="Times New Roman"/>
                <w:b w:val="0"/>
                <w:bCs/>
                <w:color w:val="auto"/>
                <w:sz w:val="21"/>
                <w:szCs w:val="21"/>
                <w:u w:val="none"/>
              </w:rPr>
              <w:t>内容</w:t>
            </w:r>
          </w:p>
        </w:tc>
        <w:tc>
          <w:tcPr>
            <w:tcW w:w="1185"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u w:val="none"/>
                <w:vertAlign w:val="baseline"/>
                <w:lang w:eastAsia="zh-CN"/>
              </w:rPr>
            </w:pPr>
            <w:r>
              <w:rPr>
                <w:rFonts w:hint="default" w:ascii="Times New Roman" w:hAnsi="Times New Roman" w:cs="Times New Roman"/>
                <w:b w:val="0"/>
                <w:bCs/>
                <w:color w:val="auto"/>
                <w:sz w:val="21"/>
                <w:szCs w:val="21"/>
                <w:u w:val="none"/>
              </w:rPr>
              <w:t>时间</w:t>
            </w:r>
          </w:p>
        </w:tc>
        <w:tc>
          <w:tcPr>
            <w:tcW w:w="111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u w:val="none"/>
                <w:vertAlign w:val="baseline"/>
                <w:lang w:eastAsia="zh-CN"/>
              </w:rPr>
            </w:pPr>
            <w:r>
              <w:rPr>
                <w:rFonts w:hint="default" w:ascii="Times New Roman" w:hAnsi="Times New Roman" w:cs="Times New Roman"/>
                <w:b w:val="0"/>
                <w:bCs/>
                <w:color w:val="auto"/>
                <w:sz w:val="21"/>
                <w:szCs w:val="21"/>
                <w:u w:val="none"/>
              </w:rPr>
              <w:t>责任部门及负责人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u w:val="none"/>
                <w:lang w:val="en-US" w:eastAsia="zh-CN"/>
              </w:rPr>
            </w:pPr>
            <w:r>
              <w:rPr>
                <w:rFonts w:hint="default" w:ascii="Times New Roman" w:hAnsi="Times New Roman" w:cs="Times New Roman"/>
                <w:b w:val="0"/>
                <w:bCs/>
                <w:color w:val="auto"/>
                <w:sz w:val="21"/>
                <w:szCs w:val="21"/>
                <w:u w:val="none"/>
              </w:rPr>
              <w:t>审核准备</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①调查企业基本情况</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②成立审核小组</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③制定审核工作计划</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④启动会</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⑤宣传培训</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⑥制定奖励机制</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⑦征集无低费方案</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⑧方案汇总筛选</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val="en-US" w:eastAsia="zh-CN"/>
              </w:rPr>
            </w:pPr>
            <w:r>
              <w:rPr>
                <w:rFonts w:hint="default" w:ascii="Times New Roman" w:hAnsi="Times New Roman" w:cs="Times New Roman"/>
                <w:b w:val="0"/>
                <w:bCs w:val="0"/>
                <w:color w:val="auto"/>
                <w:sz w:val="21"/>
                <w:szCs w:val="21"/>
                <w:u w:val="none"/>
                <w:vertAlign w:val="baseline"/>
                <w:lang w:val="en-US" w:eastAsia="zh-CN"/>
              </w:rPr>
              <w:t>2021.6.10-7.8</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u w:val="none"/>
                <w:lang w:eastAsia="zh-CN"/>
              </w:rPr>
            </w:pPr>
            <w:r>
              <w:rPr>
                <w:rFonts w:hint="default" w:ascii="Times New Roman" w:hAnsi="Times New Roman" w:cs="Times New Roman"/>
                <w:b w:val="0"/>
                <w:bCs/>
                <w:color w:val="auto"/>
                <w:sz w:val="21"/>
                <w:szCs w:val="21"/>
                <w:u w:val="none"/>
              </w:rPr>
              <w:t>预审核</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①组织现状调研</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②现场考察</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③评价产污排污状况</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④确定审核重点</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⑤设置清洁生产目标</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⑥征集清洁生产无低费方案</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⑦方案汇总筛选、实施</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val="en-US" w:eastAsia="zh-CN"/>
              </w:rPr>
            </w:pPr>
            <w:r>
              <w:rPr>
                <w:rFonts w:hint="default" w:ascii="Times New Roman" w:hAnsi="Times New Roman" w:cs="Times New Roman"/>
                <w:b w:val="0"/>
                <w:bCs w:val="0"/>
                <w:color w:val="auto"/>
                <w:sz w:val="21"/>
                <w:szCs w:val="21"/>
                <w:u w:val="none"/>
                <w:vertAlign w:val="baseline"/>
                <w:lang w:val="en-US" w:eastAsia="zh-CN"/>
              </w:rPr>
              <w:t>2021.7.4-7.28</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u w:val="none"/>
                <w:lang w:eastAsia="zh-CN"/>
              </w:rPr>
            </w:pPr>
            <w:r>
              <w:rPr>
                <w:rFonts w:hint="default" w:ascii="Times New Roman" w:hAnsi="Times New Roman" w:cs="Times New Roman"/>
                <w:b w:val="0"/>
                <w:bCs/>
                <w:color w:val="auto"/>
                <w:sz w:val="21"/>
                <w:szCs w:val="21"/>
                <w:u w:val="none"/>
              </w:rPr>
              <w:t>审核</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①收集审核重点资料</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②确定输入输出</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③制定实测计划</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④实测</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⑤实测结果分析汇总</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 xml:space="preserve">⑥建立物料平衡 </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⑦废物产生原因分析</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⑧征集清洁生产方案</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val="en-US" w:eastAsia="zh-CN"/>
              </w:rPr>
            </w:pPr>
            <w:r>
              <w:rPr>
                <w:rFonts w:hint="default" w:ascii="Times New Roman" w:hAnsi="Times New Roman" w:cs="Times New Roman"/>
                <w:b w:val="0"/>
                <w:bCs w:val="0"/>
                <w:color w:val="auto"/>
                <w:sz w:val="21"/>
                <w:szCs w:val="21"/>
                <w:u w:val="none"/>
                <w:vertAlign w:val="baseline"/>
                <w:lang w:val="en-US" w:eastAsia="zh-CN"/>
              </w:rPr>
              <w:t>2021.7.24-8.29</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u w:val="none"/>
                <w:lang w:eastAsia="zh-CN"/>
              </w:rPr>
            </w:pPr>
            <w:r>
              <w:rPr>
                <w:rFonts w:hint="default" w:ascii="Times New Roman" w:hAnsi="Times New Roman" w:cs="Times New Roman"/>
                <w:b w:val="0"/>
                <w:bCs/>
                <w:color w:val="auto"/>
                <w:sz w:val="21"/>
                <w:szCs w:val="21"/>
                <w:u w:val="none"/>
              </w:rPr>
              <w:t>方案产生及筛选</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①汇总筛选方案</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②研制方案</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③继续实施无低费方案</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④核定并汇总无低费方案实施效果</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val="en-US" w:eastAsia="zh-CN"/>
              </w:rPr>
            </w:pPr>
            <w:r>
              <w:rPr>
                <w:rFonts w:hint="default" w:ascii="Times New Roman" w:hAnsi="Times New Roman" w:cs="Times New Roman"/>
                <w:b w:val="0"/>
                <w:bCs w:val="0"/>
                <w:color w:val="auto"/>
                <w:sz w:val="21"/>
                <w:szCs w:val="21"/>
                <w:u w:val="none"/>
                <w:vertAlign w:val="baseline"/>
                <w:lang w:val="en-US" w:eastAsia="zh-CN"/>
              </w:rPr>
              <w:t>2021.8.22-9.30</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color w:val="auto"/>
                <w:sz w:val="21"/>
                <w:szCs w:val="21"/>
                <w:u w:val="none"/>
              </w:rPr>
              <w:t>可行性分析</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①市场调研</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②对中高费方案进行可行性分析</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③推荐可实施的清洁生产方案</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val="en-US" w:eastAsia="zh-CN"/>
              </w:rPr>
            </w:pPr>
            <w:r>
              <w:rPr>
                <w:rFonts w:hint="default" w:ascii="Times New Roman" w:hAnsi="Times New Roman" w:cs="Times New Roman"/>
                <w:b w:val="0"/>
                <w:bCs w:val="0"/>
                <w:color w:val="auto"/>
                <w:sz w:val="21"/>
                <w:szCs w:val="21"/>
                <w:u w:val="none"/>
                <w:vertAlign w:val="baseline"/>
                <w:lang w:val="en-US" w:eastAsia="zh-CN"/>
              </w:rPr>
              <w:t>2021.10.1-10.20</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color w:val="auto"/>
                <w:sz w:val="21"/>
                <w:szCs w:val="21"/>
                <w:u w:val="none"/>
              </w:rPr>
              <w:t>方案实施</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①制定方案实施计划</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②组织方案实施</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③汇总已实施无低费方案效果</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④验证已实施的中高费方案的成果</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⑤分析汇总已实施方案对组织的影响</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val="en-US" w:eastAsia="zh-CN"/>
              </w:rPr>
            </w:pPr>
            <w:r>
              <w:rPr>
                <w:rFonts w:hint="default" w:ascii="Times New Roman" w:hAnsi="Times New Roman" w:cs="Times New Roman"/>
                <w:b w:val="0"/>
                <w:bCs w:val="0"/>
                <w:color w:val="auto"/>
                <w:sz w:val="21"/>
                <w:szCs w:val="21"/>
                <w:u w:val="none"/>
                <w:vertAlign w:val="baseline"/>
                <w:lang w:val="en-US" w:eastAsia="zh-CN"/>
              </w:rPr>
              <w:t>2021.10.20-2022.4.7</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color w:val="auto"/>
                <w:sz w:val="21"/>
                <w:szCs w:val="21"/>
                <w:u w:val="none"/>
              </w:rPr>
              <w:t>持续清洁生产</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①建立完善清洁生产组织</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②建立完善清洁生产管理制度</w:t>
            </w:r>
          </w:p>
          <w:p>
            <w:pPr>
              <w:numPr>
                <w:ilvl w:val="0"/>
                <w:numId w:val="0"/>
              </w:numPr>
              <w:spacing w:line="240" w:lineRule="auto"/>
              <w:ind w:leftChars="0"/>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③制定持续清洁生产计划</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val="en-US" w:eastAsia="zh-CN"/>
              </w:rPr>
            </w:pPr>
            <w:r>
              <w:rPr>
                <w:rFonts w:hint="default" w:ascii="Times New Roman" w:hAnsi="Times New Roman" w:cs="Times New Roman"/>
                <w:b w:val="0"/>
                <w:bCs w:val="0"/>
                <w:color w:val="auto"/>
                <w:sz w:val="21"/>
                <w:szCs w:val="21"/>
                <w:u w:val="none"/>
                <w:vertAlign w:val="baseline"/>
                <w:lang w:val="en-US" w:eastAsia="zh-CN"/>
              </w:rPr>
              <w:t>2022.4.8以后</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u w:val="none"/>
                <w:vertAlign w:val="baseline"/>
                <w:lang w:eastAsia="zh-CN"/>
              </w:rPr>
            </w:pPr>
            <w:r>
              <w:rPr>
                <w:rFonts w:hint="default" w:ascii="Times New Roman" w:hAnsi="Times New Roman" w:cs="Times New Roman"/>
                <w:b w:val="0"/>
                <w:bCs w:val="0"/>
                <w:color w:val="auto"/>
                <w:sz w:val="21"/>
                <w:szCs w:val="21"/>
                <w:u w:val="none"/>
                <w:vertAlign w:val="baseline"/>
                <w:lang w:eastAsia="zh-CN"/>
              </w:rPr>
              <w:t>审核小组、相关责任部门</w:t>
            </w:r>
          </w:p>
        </w:tc>
      </w:tr>
    </w:tbl>
    <w:p>
      <w:pPr>
        <w:spacing w:line="360" w:lineRule="auto"/>
        <w:jc w:val="left"/>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t>三、清洁生产审核效益汇总</w:t>
      </w:r>
    </w:p>
    <w:p>
      <w:pPr>
        <w:spacing w:line="360" w:lineRule="auto"/>
        <w:ind w:firstLine="480" w:firstLineChars="200"/>
        <w:jc w:val="left"/>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t>本轮清洁生产审核，给企业带来非常显著的效益。汇总并量化这些效益，主要归纳到两方面：即经济效益和环境效益，具体结果见“清洁生产审核结果汇总表”。</w:t>
      </w:r>
    </w:p>
    <w:p>
      <w:pPr>
        <w:spacing w:line="360" w:lineRule="auto"/>
        <w:ind w:firstLine="480" w:firstLineChars="200"/>
        <w:jc w:val="center"/>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lang w:val="en-US" w:eastAsia="zh-CN"/>
        </w:rPr>
        <w:t>新乡市俊</w:t>
      </w:r>
      <w:r>
        <w:rPr>
          <w:rFonts w:hint="default" w:ascii="Times New Roman" w:hAnsi="Times New Roman" w:cs="Times New Roman"/>
          <w:b w:val="0"/>
          <w:bCs w:val="0"/>
          <w:sz w:val="24"/>
          <w:szCs w:val="24"/>
          <w:highlight w:val="none"/>
          <w:lang w:val="en-US" w:eastAsia="zh-CN"/>
        </w:rPr>
        <w:t>业新材料有限公司清洁生产审核效益汇总表（折合全年）</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80"/>
        <w:gridCol w:w="1155"/>
        <w:gridCol w:w="1095"/>
        <w:gridCol w:w="4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方案类别</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数量（个）</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预计投资</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（万元）</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预计增收（万元）</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预计年节能减排情况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无低费方案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5</w:t>
            </w:r>
            <w:r>
              <w:rPr>
                <w:rFonts w:hint="default" w:ascii="Times New Roman" w:hAnsi="Times New Roman" w:eastAsia="宋体" w:cs="Times New Roman"/>
                <w:b w:val="0"/>
                <w:bCs w:val="0"/>
                <w:color w:val="auto"/>
                <w:sz w:val="21"/>
                <w:szCs w:val="21"/>
                <w:vertAlign w:val="baseline"/>
                <w:lang w:val="en-US" w:eastAsia="zh-CN"/>
              </w:rPr>
              <w:t>.65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算，节约水费0.648万元/a。节约办公支出约200元/年，可节省人工成本8万元/年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中高费方案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110</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F19：电镀产生的酸雾得到有效的收集处理，车间内水雾淤积量明显降低，使无组织酸雾的外排量有效减少，对车间内职工健康和生产设备运行状态均会产生有益的影响</w:t>
            </w:r>
            <w:r>
              <w:rPr>
                <w:rFonts w:hint="eastAsia" w:ascii="Times New Roman" w:hAnsi="Times New Roman" w:eastAsia="宋体" w:cs="Times New Roman"/>
                <w:b w:val="0"/>
                <w:bCs w:val="0"/>
                <w:color w:val="auto"/>
                <w:sz w:val="21"/>
                <w:szCs w:val="21"/>
                <w:vertAlign w:val="baseline"/>
                <w:lang w:val="en-US" w:eastAsia="zh-CN"/>
              </w:rPr>
              <w:br w:type="textWrapping"/>
            </w:r>
            <w:r>
              <w:rPr>
                <w:rFonts w:hint="eastAsia" w:ascii="Times New Roman" w:hAnsi="Times New Roman" w:eastAsia="宋体" w:cs="Times New Roman"/>
                <w:b w:val="0"/>
                <w:bCs w:val="0"/>
                <w:color w:val="auto"/>
                <w:sz w:val="21"/>
                <w:szCs w:val="21"/>
                <w:vertAlign w:val="baseline"/>
                <w:lang w:val="en-US" w:eastAsia="zh-CN"/>
              </w:rPr>
              <w:t>F20：厂区电镀线产生的废水得到分类、分级处理，废水停留时间增加，污水处理站的处理能力得到加强，提高的回用水水质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w:t>
            </w:r>
            <w:r>
              <w:rPr>
                <w:rFonts w:hint="eastAsia" w:ascii="Times New Roman" w:hAnsi="Times New Roman" w:eastAsia="宋体" w:cs="Times New Roman"/>
                <w:b w:val="0"/>
                <w:bCs w:val="0"/>
                <w:color w:val="auto"/>
                <w:sz w:val="21"/>
                <w:szCs w:val="21"/>
                <w:vertAlign w:val="baseline"/>
                <w:lang w:val="en-US" w:eastAsia="zh-CN"/>
              </w:rPr>
              <w:t>5</w:t>
            </w:r>
            <w:r>
              <w:rPr>
                <w:rFonts w:hint="default" w:ascii="Times New Roman" w:hAnsi="Times New Roman" w:eastAsia="宋体" w:cs="Times New Roman"/>
                <w:b w:val="0"/>
                <w:bCs w:val="0"/>
                <w:color w:val="auto"/>
                <w:sz w:val="21"/>
                <w:szCs w:val="21"/>
                <w:vertAlign w:val="baseline"/>
                <w:lang w:val="en-US" w:eastAsia="zh-CN"/>
              </w:rPr>
              <w:t>.65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算，节约水费0.648万元/a。节约办公支出约200元/年，可节省人工成本8万元/年</w:t>
            </w:r>
            <w:r>
              <w:rPr>
                <w:rFonts w:hint="eastAsia" w:ascii="Times New Roman" w:hAnsi="Times New Roman" w:eastAsia="宋体" w:cs="Times New Roman"/>
                <w:b w:val="0"/>
                <w:bCs w:val="0"/>
                <w:color w:val="auto"/>
                <w:sz w:val="21"/>
                <w:szCs w:val="21"/>
                <w:vertAlign w:val="baseline"/>
                <w:lang w:val="en-US" w:eastAsia="zh-CN"/>
              </w:rPr>
              <w:t>；同时中高费方案的实施大大提高了厂区车间的环境质量，项目废水、废气治理装置得到优化改善，提高了环境效益</w:t>
            </w:r>
          </w:p>
        </w:tc>
      </w:tr>
    </w:tbl>
    <w:p>
      <w:pPr>
        <w:rPr>
          <w:rFonts w:hint="default" w:ascii="Times New Roman" w:hAnsi="Times New Roman" w:cs="Times New Roman"/>
          <w:lang w:val="en-US" w:eastAsia="zh-CN"/>
        </w:rPr>
      </w:pPr>
    </w:p>
    <w:p>
      <w:pPr>
        <w:pStyle w:val="20"/>
        <w:rPr>
          <w:rFonts w:hint="default" w:ascii="Times New Roman" w:hAnsi="Times New Roman" w:cs="Times New Roman"/>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sdt>
      <w:sdtPr>
        <w:rPr>
          <w:rFonts w:hint="default" w:ascii="Times New Roman" w:hAnsi="Times New Roman" w:eastAsia="宋体" w:cs="Times New Roman"/>
          <w:kern w:val="2"/>
          <w:sz w:val="21"/>
          <w:szCs w:val="24"/>
          <w:lang w:val="en-US" w:eastAsia="zh-CN" w:bidi="ar-SA"/>
        </w:rPr>
        <w:id w:val="147453421"/>
        <w15:color w:val="DBDBDB"/>
        <w:docPartObj>
          <w:docPartGallery w:val="Table of Contents"/>
          <w:docPartUnique/>
        </w:docPartObj>
      </w:sdtPr>
      <w:sdtEndPr>
        <w:rPr>
          <w:rFonts w:hint="default" w:ascii="Times New Roman" w:hAnsi="Times New Roman" w:cs="Times New Roman" w:eastAsiaTheme="minorEastAsia"/>
          <w:kern w:val="2"/>
          <w:sz w:val="22"/>
          <w:szCs w:val="28"/>
          <w:lang w:val="en-US" w:eastAsia="zh-CN" w:bidi="ar-SA"/>
        </w:rPr>
      </w:sdtEndPr>
      <w:sdtContent>
        <w:p>
          <w:pPr>
            <w:pStyle w:val="3"/>
            <w:shd w:val="clear"/>
            <w:bidi w:val="0"/>
            <w:spacing w:before="0" w:beforeLines="0" w:after="0" w:afterLines="0" w:line="360" w:lineRule="auto"/>
            <w:ind w:left="0" w:leftChars="0" w:right="0" w:rightChars="0" w:firstLine="0" w:firstLineChars="0"/>
            <w:jc w:val="center"/>
            <w:rPr>
              <w:rFonts w:hint="default" w:ascii="Times New Roman" w:hAnsi="Times New Roman" w:cs="Times New Roman" w:eastAsiaTheme="minorEastAsia"/>
              <w:b/>
              <w:kern w:val="44"/>
              <w:sz w:val="22"/>
              <w:szCs w:val="22"/>
              <w:lang w:val="en-US" w:eastAsia="zh-CN" w:bidi="ar-SA"/>
            </w:rPr>
          </w:pPr>
          <w:bookmarkStart w:id="22" w:name="_Toc31282"/>
          <w:bookmarkStart w:id="23" w:name="_Toc10824"/>
          <w:r>
            <w:rPr>
              <w:rFonts w:hint="default" w:ascii="Times New Roman" w:hAnsi="Times New Roman" w:eastAsia="宋体" w:cs="Times New Roman"/>
              <w:sz w:val="28"/>
              <w:szCs w:val="28"/>
            </w:rPr>
            <w:t>目录</w:t>
          </w:r>
          <w:bookmarkEnd w:id="22"/>
          <w:bookmarkEnd w:id="23"/>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TOC \o "1-3" \h \u </w:instrText>
          </w:r>
          <w:r>
            <w:rPr>
              <w:rFonts w:hint="default" w:ascii="Times New Roman" w:hAnsi="Times New Roman" w:cs="Times New Roman"/>
              <w:sz w:val="22"/>
              <w:szCs w:val="22"/>
              <w:lang w:eastAsia="zh-CN"/>
            </w:rPr>
            <w:fldChar w:fldCharType="separate"/>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_Toc11126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eastAsiaTheme="minorEastAsia"/>
              <w:kern w:val="44"/>
              <w:sz w:val="22"/>
              <w:szCs w:val="22"/>
              <w:lang w:val="en-US" w:eastAsia="zh-CN" w:bidi="ar-SA"/>
            </w:rPr>
            <w:t>前言</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_Toc11126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_Toc24522 </w:instrText>
          </w:r>
          <w:r>
            <w:rPr>
              <w:rFonts w:hint="default" w:ascii="Times New Roman" w:hAnsi="Times New Roman" w:cs="Times New Roman"/>
              <w:sz w:val="22"/>
              <w:szCs w:val="22"/>
              <w:lang w:eastAsia="zh-CN"/>
            </w:rPr>
            <w:fldChar w:fldCharType="separate"/>
          </w:r>
          <w:r>
            <w:rPr>
              <w:rFonts w:hint="default" w:ascii="Times New Roman" w:hAnsi="Times New Roman" w:eastAsia="宋体" w:cs="Times New Roman"/>
              <w:kern w:val="0"/>
              <w:sz w:val="22"/>
              <w:szCs w:val="22"/>
              <w:lang w:val="en-US" w:eastAsia="zh-CN" w:bidi="ar"/>
            </w:rPr>
            <w:t>一、推行清洁生产的重要性</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_Toc24522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_Toc15647 </w:instrText>
          </w:r>
          <w:r>
            <w:rPr>
              <w:rFonts w:hint="default" w:ascii="Times New Roman" w:hAnsi="Times New Roman" w:cs="Times New Roman"/>
              <w:sz w:val="22"/>
              <w:szCs w:val="22"/>
              <w:lang w:eastAsia="zh-CN"/>
            </w:rPr>
            <w:fldChar w:fldCharType="separate"/>
          </w:r>
          <w:r>
            <w:rPr>
              <w:rFonts w:hint="default" w:ascii="Times New Roman" w:hAnsi="Times New Roman" w:eastAsia="宋体" w:cs="Times New Roman"/>
              <w:kern w:val="0"/>
              <w:sz w:val="22"/>
              <w:szCs w:val="22"/>
              <w:lang w:val="en-US" w:eastAsia="zh-CN" w:bidi="ar"/>
            </w:rPr>
            <w:t>二、清洁生产审核涵义</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_Toc15647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_Toc4190 </w:instrText>
          </w:r>
          <w:r>
            <w:rPr>
              <w:rFonts w:hint="default" w:ascii="Times New Roman" w:hAnsi="Times New Roman" w:cs="Times New Roman"/>
              <w:sz w:val="22"/>
              <w:szCs w:val="22"/>
              <w:lang w:eastAsia="zh-CN"/>
            </w:rPr>
            <w:fldChar w:fldCharType="separate"/>
          </w:r>
          <w:r>
            <w:rPr>
              <w:rFonts w:hint="default" w:ascii="Times New Roman" w:hAnsi="Times New Roman" w:eastAsia="宋体" w:cs="Times New Roman"/>
              <w:kern w:val="0"/>
              <w:sz w:val="22"/>
              <w:szCs w:val="22"/>
              <w:lang w:val="en-US" w:eastAsia="zh-CN" w:bidi="ar"/>
            </w:rPr>
            <w:t>三、本次审核意义</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_Toc4190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- 2 -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_Toc1626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第一章 清洁生产审核概述</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_Toc1626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_Toc240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1.1 审核目的</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_Toc240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_Toc14463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1.2 审核原则</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_Toc14463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_Toc9487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1.3 审核思路</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_Toc9487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- 2 -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_Toc28051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1.4 审核范围</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_Toc28051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- 3 -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_Toc4951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1.5 审核内容</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_Toc4951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- 3 -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_Toc22918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1.6 审核指标</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_Toc22918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- 4 -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_Toc26616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1.7 审核程序</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_Toc26616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- 5 -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_Toc17238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1.8 审核依据</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_Toc17238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- 6 -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_Toc24590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第二章</w:t>
          </w:r>
          <w:r>
            <w:rPr>
              <w:rFonts w:hint="default" w:ascii="Times New Roman" w:hAnsi="Times New Roman" w:cs="Times New Roman"/>
              <w:sz w:val="22"/>
              <w:szCs w:val="22"/>
              <w:lang w:val="en-US" w:eastAsia="zh-CN"/>
            </w:rPr>
            <w:t xml:space="preserve"> </w:t>
          </w:r>
          <w:r>
            <w:rPr>
              <w:rFonts w:hint="default" w:ascii="Times New Roman" w:hAnsi="Times New Roman" w:cs="Times New Roman"/>
              <w:sz w:val="22"/>
              <w:szCs w:val="22"/>
              <w:lang w:eastAsia="zh-CN"/>
            </w:rPr>
            <w:t>审核准备</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_Toc24590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- 9 -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_Toc29850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2.1 宣传教育</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_Toc29850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- 9 -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_Toc20811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2.2审核小组组建</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_Toc20811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- 9 -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_Toc7403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2.3行业专家指导</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_Toc7403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_Toc17123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2.4审核前公示</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_Toc17123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_Toc27811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2.5 克服障碍</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_Toc27811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_Toc14809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2.6 清洁生产审核工作计划</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_Toc14809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- 12 -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_Toc23172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第三章 预审核</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_Toc23172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- 16 -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_Toc26764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3.1现状调研</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_Toc26764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- 16 -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_Toc5004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3.2现场考察</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_Toc5004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- 44 -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_Toc25520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3.3清洁生产水平定位分析</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_Toc25520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- 45 -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_Toc20106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3.</w:t>
          </w:r>
          <w:r>
            <w:rPr>
              <w:rFonts w:hint="default" w:ascii="Times New Roman" w:hAnsi="Times New Roman" w:cs="Times New Roman"/>
              <w:sz w:val="22"/>
              <w:szCs w:val="22"/>
              <w:lang w:val="en-US" w:eastAsia="zh-CN"/>
            </w:rPr>
            <w:t>4</w:t>
          </w:r>
          <w:r>
            <w:rPr>
              <w:rFonts w:hint="default" w:ascii="Times New Roman" w:hAnsi="Times New Roman" w:cs="Times New Roman"/>
              <w:sz w:val="22"/>
              <w:szCs w:val="22"/>
              <w:lang w:eastAsia="zh-CN"/>
            </w:rPr>
            <w:t>确定审核重点</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_Toc20106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- 52 -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_Toc20509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3.</w:t>
          </w:r>
          <w:r>
            <w:rPr>
              <w:rFonts w:hint="default" w:ascii="Times New Roman" w:hAnsi="Times New Roman" w:cs="Times New Roman"/>
              <w:sz w:val="22"/>
              <w:szCs w:val="22"/>
              <w:lang w:val="en-US" w:eastAsia="zh-CN"/>
            </w:rPr>
            <w:t>5</w:t>
          </w:r>
          <w:r>
            <w:rPr>
              <w:rFonts w:hint="default" w:ascii="Times New Roman" w:hAnsi="Times New Roman" w:cs="Times New Roman"/>
              <w:sz w:val="22"/>
              <w:szCs w:val="22"/>
              <w:lang w:eastAsia="zh-CN"/>
            </w:rPr>
            <w:t xml:space="preserve"> 设置清洁生产目标</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_Toc20509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- 53 -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_Toc18730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3.</w:t>
          </w:r>
          <w:r>
            <w:rPr>
              <w:rFonts w:hint="default" w:ascii="Times New Roman" w:hAnsi="Times New Roman" w:cs="Times New Roman"/>
              <w:sz w:val="22"/>
              <w:szCs w:val="22"/>
              <w:lang w:val="en-US" w:eastAsia="zh-CN"/>
            </w:rPr>
            <w:t>6</w:t>
          </w:r>
          <w:r>
            <w:rPr>
              <w:rFonts w:hint="default" w:ascii="Times New Roman" w:hAnsi="Times New Roman" w:cs="Times New Roman"/>
              <w:sz w:val="22"/>
              <w:szCs w:val="22"/>
              <w:lang w:eastAsia="zh-CN"/>
            </w:rPr>
            <w:t xml:space="preserve"> 预审核阶段提出方案汇总</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_Toc18730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- 54 -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_Toc22562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第四章 审核</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_Toc22562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- 56 -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_Toc8850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4.1 审核重点概况</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_Toc8850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- 56 -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_Toc27692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4.2 审核重点物料实测</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_Toc27692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- 57 -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_Toc10188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4.3 分析问题产生的原因</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_Toc10188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- 59 -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_Toc12815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eastAsia="zh-CN"/>
            </w:rPr>
            <w:t>4.4 提出清洁生产方案</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_Toc12815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- 60 -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_Toc2189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第五章 方案的产生和筛选</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_Toc2189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- 62 -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_Toc24371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5.1 方案的产生</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_Toc24371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- 62 -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_Toc24340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5.2 方案的分类和汇总</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_Toc24340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- 63 -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_Toc23911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5.3 方案的筛选</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_Toc23911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- 66 -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_Toc3134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5.4方案研制</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_Toc3134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- 67 -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_Toc22325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5.5 方案的实施计划</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_Toc22325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- 69 -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_Toc12549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5.6 方案的预期投资和收益</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_Toc12549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- 70 -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_Toc28650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第六章 可行性分析</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_Toc28650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- 71 -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_Toc6386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6.1  F19酸雾处理</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_Toc6386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- 71 -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_Toc19621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6.2  F20生产废水分类处理</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_Toc19621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- 72 -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_Toc17756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第七章 方案的实施</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_Toc17756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- 74 -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_Toc32562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7.1 方案实施情况简述</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_Toc32562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- 74 -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4"/>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_Toc1899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7.2 已完成的无低费方案的实施效果</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_Toc1899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- 76 -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_Toc10371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第八章 持续清洁生产</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_Toc10371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- 93 -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pStyle w:val="17"/>
            <w:shd w:val="clear"/>
            <w:tabs>
              <w:tab w:val="right" w:leader="dot" w:pos="8306"/>
            </w:tabs>
            <w:spacing w:line="360" w:lineRule="auto"/>
            <w:rPr>
              <w:rFonts w:hint="default" w:ascii="Times New Roman" w:hAnsi="Times New Roman" w:cs="Times New Roman"/>
              <w:sz w:val="22"/>
              <w:szCs w:val="22"/>
            </w:rPr>
          </w:pPr>
          <w:r>
            <w:rPr>
              <w:rFonts w:hint="default" w:ascii="Times New Roman" w:hAnsi="Times New Roman" w:cs="Times New Roman"/>
              <w:sz w:val="22"/>
              <w:szCs w:val="22"/>
              <w:lang w:eastAsia="zh-CN"/>
            </w:rPr>
            <w:fldChar w:fldCharType="begin"/>
          </w:r>
          <w:r>
            <w:rPr>
              <w:rFonts w:hint="default" w:ascii="Times New Roman" w:hAnsi="Times New Roman" w:cs="Times New Roman"/>
              <w:sz w:val="22"/>
              <w:szCs w:val="22"/>
              <w:lang w:eastAsia="zh-CN"/>
            </w:rPr>
            <w:instrText xml:space="preserve"> HYPERLINK \l _Toc18212 </w:instrText>
          </w:r>
          <w:r>
            <w:rPr>
              <w:rFonts w:hint="default" w:ascii="Times New Roman" w:hAnsi="Times New Roman" w:cs="Times New Roman"/>
              <w:sz w:val="22"/>
              <w:szCs w:val="22"/>
              <w:lang w:eastAsia="zh-CN"/>
            </w:rPr>
            <w:fldChar w:fldCharType="separate"/>
          </w:r>
          <w:r>
            <w:rPr>
              <w:rFonts w:hint="default" w:ascii="Times New Roman" w:hAnsi="Times New Roman" w:cs="Times New Roman"/>
              <w:sz w:val="22"/>
              <w:szCs w:val="22"/>
              <w:lang w:val="en-US" w:eastAsia="zh-CN"/>
            </w:rPr>
            <w:t>第九章 结论</w:t>
          </w:r>
          <w:r>
            <w:rPr>
              <w:rFonts w:hint="default" w:ascii="Times New Roman" w:hAnsi="Times New Roman" w:cs="Times New Roman"/>
              <w:sz w:val="22"/>
              <w:szCs w:val="22"/>
            </w:rPr>
            <w:tab/>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PAGEREF _Toc18212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- 97 -</w:t>
          </w:r>
          <w:r>
            <w:rPr>
              <w:rFonts w:hint="default" w:ascii="Times New Roman" w:hAnsi="Times New Roman" w:cs="Times New Roman"/>
              <w:sz w:val="22"/>
              <w:szCs w:val="22"/>
            </w:rPr>
            <w:fldChar w:fldCharType="end"/>
          </w:r>
          <w:r>
            <w:rPr>
              <w:rFonts w:hint="default" w:ascii="Times New Roman" w:hAnsi="Times New Roman" w:cs="Times New Roman"/>
              <w:sz w:val="22"/>
              <w:szCs w:val="22"/>
              <w:lang w:eastAsia="zh-CN"/>
            </w:rPr>
            <w:fldChar w:fldCharType="end"/>
          </w:r>
        </w:p>
        <w:p>
          <w:pPr>
            <w:bidi w:val="0"/>
            <w:spacing w:before="0" w:beforeLines="0" w:after="0" w:afterLines="0" w:line="360" w:lineRule="auto"/>
            <w:ind w:left="0" w:leftChars="0" w:right="0" w:rightChars="0" w:firstLine="0" w:firstLineChars="0"/>
            <w:jc w:val="both"/>
            <w:rPr>
              <w:rFonts w:hint="default" w:ascii="Times New Roman" w:hAnsi="Times New Roman" w:cs="Times New Roman" w:eastAsiaTheme="minorEastAsia"/>
              <w:kern w:val="2"/>
              <w:sz w:val="22"/>
              <w:szCs w:val="22"/>
              <w:u w:val="none"/>
              <w:lang w:val="en-US" w:eastAsia="zh-CN" w:bidi="ar-SA"/>
            </w:rPr>
          </w:pPr>
          <w:r>
            <w:rPr>
              <w:rFonts w:hint="default" w:ascii="Times New Roman" w:hAnsi="Times New Roman" w:cs="Times New Roman"/>
              <w:sz w:val="22"/>
              <w:szCs w:val="22"/>
              <w:lang w:eastAsia="zh-CN"/>
            </w:rPr>
            <w:fldChar w:fldCharType="end"/>
          </w:r>
          <w:r>
            <w:rPr>
              <w:rFonts w:hint="default" w:ascii="Times New Roman" w:hAnsi="Times New Roman" w:cs="Times New Roman" w:eastAsiaTheme="minorEastAsia"/>
              <w:kern w:val="2"/>
              <w:sz w:val="22"/>
              <w:szCs w:val="22"/>
              <w:u w:val="none"/>
              <w:lang w:val="en-US" w:eastAsia="zh-CN" w:bidi="ar-SA"/>
            </w:rPr>
            <w:t>附图一  项目位置图</w:t>
          </w:r>
          <w:r>
            <w:rPr>
              <w:rFonts w:hint="default" w:ascii="Times New Roman" w:hAnsi="Times New Roman" w:cs="Times New Roman" w:eastAsiaTheme="minorEastAsia"/>
              <w:kern w:val="2"/>
              <w:sz w:val="22"/>
              <w:szCs w:val="22"/>
              <w:u w:val="none"/>
              <w:lang w:val="en-US" w:eastAsia="zh-CN" w:bidi="ar-SA"/>
            </w:rPr>
            <w:br w:type="textWrapping"/>
          </w:r>
          <w:r>
            <w:rPr>
              <w:rFonts w:hint="default" w:ascii="Times New Roman" w:hAnsi="Times New Roman" w:cs="Times New Roman" w:eastAsiaTheme="minorEastAsia"/>
              <w:kern w:val="2"/>
              <w:sz w:val="22"/>
              <w:szCs w:val="22"/>
              <w:u w:val="none"/>
              <w:lang w:val="en-US" w:eastAsia="zh-CN" w:bidi="ar-SA"/>
            </w:rPr>
            <w:t>附图二  项目厂区平面布置图</w:t>
          </w:r>
          <w:r>
            <w:rPr>
              <w:rFonts w:hint="default" w:ascii="Times New Roman" w:hAnsi="Times New Roman" w:cs="Times New Roman" w:eastAsiaTheme="minorEastAsia"/>
              <w:kern w:val="2"/>
              <w:sz w:val="22"/>
              <w:szCs w:val="22"/>
              <w:u w:val="none"/>
              <w:lang w:val="en-US" w:eastAsia="zh-CN" w:bidi="ar-SA"/>
            </w:rPr>
            <w:br w:type="textWrapping"/>
          </w:r>
          <w:r>
            <w:rPr>
              <w:rFonts w:hint="default" w:ascii="Times New Roman" w:hAnsi="Times New Roman" w:cs="Times New Roman" w:eastAsiaTheme="minorEastAsia"/>
              <w:kern w:val="2"/>
              <w:sz w:val="22"/>
              <w:szCs w:val="22"/>
              <w:u w:val="none"/>
              <w:lang w:val="en-US" w:eastAsia="zh-CN" w:bidi="ar-SA"/>
            </w:rPr>
            <w:t>附图三  清洁生产审核小组成立及现场宣传图</w:t>
          </w:r>
          <w:r>
            <w:rPr>
              <w:rFonts w:hint="default" w:ascii="Times New Roman" w:hAnsi="Times New Roman" w:cs="Times New Roman" w:eastAsiaTheme="minorEastAsia"/>
              <w:kern w:val="2"/>
              <w:sz w:val="22"/>
              <w:szCs w:val="22"/>
              <w:u w:val="none"/>
              <w:lang w:val="en-US" w:eastAsia="zh-CN" w:bidi="ar-SA"/>
            </w:rPr>
            <w:br w:type="textWrapping"/>
          </w:r>
          <w:r>
            <w:rPr>
              <w:rFonts w:hint="default" w:ascii="Times New Roman" w:hAnsi="Times New Roman" w:cs="Times New Roman" w:eastAsiaTheme="minorEastAsia"/>
              <w:kern w:val="2"/>
              <w:sz w:val="22"/>
              <w:szCs w:val="22"/>
              <w:u w:val="none"/>
              <w:lang w:val="en-US" w:eastAsia="zh-CN" w:bidi="ar-SA"/>
            </w:rPr>
            <w:t xml:space="preserve">附图四  </w:t>
          </w:r>
          <w:r>
            <w:rPr>
              <w:rFonts w:hint="default" w:ascii="Times New Roman" w:hAnsi="Times New Roman" w:cs="Times New Roman"/>
              <w:kern w:val="2"/>
              <w:sz w:val="22"/>
              <w:szCs w:val="22"/>
              <w:u w:val="none"/>
              <w:lang w:val="en-US" w:eastAsia="zh-CN" w:bidi="ar-SA"/>
            </w:rPr>
            <w:t>中高费方案F</w:t>
          </w:r>
          <w:r>
            <w:rPr>
              <w:rFonts w:hint="eastAsia" w:ascii="Times New Roman" w:hAnsi="Times New Roman" w:cs="Times New Roman"/>
              <w:kern w:val="2"/>
              <w:sz w:val="22"/>
              <w:szCs w:val="22"/>
              <w:u w:val="none"/>
              <w:lang w:val="en-US" w:eastAsia="zh-CN" w:bidi="ar-SA"/>
            </w:rPr>
            <w:t>19</w:t>
          </w:r>
          <w:r>
            <w:rPr>
              <w:rFonts w:hint="default" w:ascii="Times New Roman" w:hAnsi="Times New Roman" w:cs="Times New Roman"/>
              <w:kern w:val="2"/>
              <w:sz w:val="22"/>
              <w:szCs w:val="22"/>
              <w:u w:val="none"/>
              <w:lang w:val="en-US" w:eastAsia="zh-CN" w:bidi="ar-SA"/>
            </w:rPr>
            <w:t>落实情况图</w:t>
          </w:r>
        </w:p>
        <w:p>
          <w:pPr>
            <w:bidi w:val="0"/>
            <w:spacing w:before="0" w:beforeLines="0" w:after="0" w:afterLines="0" w:line="360" w:lineRule="auto"/>
            <w:ind w:left="0" w:leftChars="0" w:right="0" w:rightChars="0" w:firstLine="0" w:firstLineChars="0"/>
            <w:jc w:val="both"/>
            <w:rPr>
              <w:rFonts w:hint="default" w:ascii="Times New Roman" w:hAnsi="Times New Roman" w:cs="Times New Roman" w:eastAsiaTheme="minorEastAsia"/>
              <w:kern w:val="2"/>
              <w:sz w:val="22"/>
              <w:szCs w:val="22"/>
              <w:u w:val="none"/>
              <w:lang w:val="en-US" w:eastAsia="zh-CN" w:bidi="ar-SA"/>
            </w:rPr>
          </w:pPr>
          <w:r>
            <w:rPr>
              <w:rFonts w:hint="default" w:ascii="Times New Roman" w:hAnsi="Times New Roman" w:cs="Times New Roman"/>
              <w:kern w:val="2"/>
              <w:sz w:val="22"/>
              <w:szCs w:val="22"/>
              <w:u w:val="none"/>
              <w:lang w:val="en-US" w:eastAsia="zh-CN" w:bidi="ar-SA"/>
            </w:rPr>
            <w:t>附图五  中高费方案F2</w:t>
          </w:r>
          <w:r>
            <w:rPr>
              <w:rFonts w:hint="eastAsia" w:ascii="Times New Roman" w:hAnsi="Times New Roman" w:cs="Times New Roman"/>
              <w:kern w:val="2"/>
              <w:sz w:val="22"/>
              <w:szCs w:val="22"/>
              <w:u w:val="none"/>
              <w:lang w:val="en-US" w:eastAsia="zh-CN" w:bidi="ar-SA"/>
            </w:rPr>
            <w:t>0</w:t>
          </w:r>
          <w:r>
            <w:rPr>
              <w:rFonts w:hint="default" w:ascii="Times New Roman" w:hAnsi="Times New Roman" w:cs="Times New Roman"/>
              <w:kern w:val="2"/>
              <w:sz w:val="22"/>
              <w:szCs w:val="22"/>
              <w:u w:val="none"/>
              <w:lang w:val="en-US" w:eastAsia="zh-CN" w:bidi="ar-SA"/>
            </w:rPr>
            <w:t>落实情况图</w:t>
          </w:r>
        </w:p>
        <w:p>
          <w:pPr>
            <w:bidi w:val="0"/>
            <w:spacing w:before="0" w:beforeLines="0" w:after="0" w:afterLines="0" w:line="360" w:lineRule="auto"/>
            <w:ind w:left="0" w:leftChars="0" w:right="0" w:rightChars="0" w:firstLine="0" w:firstLineChars="0"/>
            <w:jc w:val="both"/>
            <w:rPr>
              <w:rFonts w:hint="default" w:ascii="Times New Roman" w:hAnsi="Times New Roman" w:cs="Times New Roman" w:eastAsiaTheme="minorEastAsia"/>
              <w:kern w:val="2"/>
              <w:sz w:val="22"/>
              <w:szCs w:val="22"/>
              <w:u w:val="none"/>
              <w:lang w:val="en-US" w:eastAsia="zh-CN" w:bidi="ar-SA"/>
            </w:rPr>
          </w:pPr>
          <w:r>
            <w:rPr>
              <w:rFonts w:hint="default" w:ascii="Times New Roman" w:hAnsi="Times New Roman" w:cs="Times New Roman"/>
              <w:kern w:val="2"/>
              <w:sz w:val="22"/>
              <w:szCs w:val="22"/>
              <w:u w:val="none"/>
              <w:lang w:val="en-US" w:eastAsia="zh-CN" w:bidi="ar-SA"/>
            </w:rPr>
            <w:t>附图</w:t>
          </w:r>
          <w:r>
            <w:rPr>
              <w:rFonts w:hint="eastAsia" w:ascii="Times New Roman" w:hAnsi="Times New Roman" w:cs="Times New Roman"/>
              <w:kern w:val="2"/>
              <w:sz w:val="22"/>
              <w:szCs w:val="22"/>
              <w:u w:val="none"/>
              <w:lang w:val="en-US" w:eastAsia="zh-CN" w:bidi="ar-SA"/>
            </w:rPr>
            <w:t>六</w:t>
          </w:r>
          <w:r>
            <w:rPr>
              <w:rFonts w:hint="default" w:ascii="Times New Roman" w:hAnsi="Times New Roman" w:cs="Times New Roman"/>
              <w:kern w:val="2"/>
              <w:sz w:val="22"/>
              <w:szCs w:val="22"/>
              <w:u w:val="none"/>
              <w:lang w:val="en-US" w:eastAsia="zh-CN" w:bidi="ar-SA"/>
            </w:rPr>
            <w:t xml:space="preserve">  危废暂存间实况图</w:t>
          </w:r>
          <w:r>
            <w:rPr>
              <w:rFonts w:hint="default" w:ascii="Times New Roman" w:hAnsi="Times New Roman" w:cs="Times New Roman"/>
              <w:sz w:val="22"/>
              <w:szCs w:val="22"/>
              <w:u w:val="none"/>
              <w:lang w:val="en-US" w:eastAsia="zh-CN"/>
            </w:rPr>
            <w:br w:type="textWrapping"/>
          </w:r>
          <w:r>
            <w:rPr>
              <w:rFonts w:hint="default" w:ascii="Times New Roman" w:hAnsi="Times New Roman" w:cs="Times New Roman" w:eastAsiaTheme="minorEastAsia"/>
              <w:kern w:val="2"/>
              <w:sz w:val="22"/>
              <w:szCs w:val="22"/>
              <w:u w:val="none"/>
              <w:lang w:val="en-US" w:eastAsia="zh-CN" w:bidi="ar-SA"/>
            </w:rPr>
            <w:t>附件一</w:t>
          </w:r>
          <w:r>
            <w:rPr>
              <w:rFonts w:hint="default" w:ascii="Times New Roman" w:hAnsi="Times New Roman" w:cs="Times New Roman"/>
              <w:kern w:val="2"/>
              <w:sz w:val="22"/>
              <w:szCs w:val="22"/>
              <w:u w:val="none"/>
              <w:lang w:val="en-US" w:eastAsia="zh-CN" w:bidi="ar-SA"/>
            </w:rPr>
            <w:t xml:space="preserve">  </w:t>
          </w:r>
          <w:r>
            <w:rPr>
              <w:rFonts w:hint="default" w:ascii="Times New Roman" w:hAnsi="Times New Roman" w:cs="Times New Roman" w:eastAsiaTheme="minorEastAsia"/>
              <w:kern w:val="2"/>
              <w:sz w:val="22"/>
              <w:szCs w:val="22"/>
              <w:u w:val="none"/>
              <w:lang w:val="en-US" w:eastAsia="zh-CN" w:bidi="ar-SA"/>
            </w:rPr>
            <w:t>清洁生产审核前公示</w:t>
          </w:r>
          <w:r>
            <w:rPr>
              <w:rFonts w:hint="default" w:ascii="Times New Roman" w:hAnsi="Times New Roman" w:cs="Times New Roman" w:eastAsiaTheme="minorEastAsia"/>
              <w:kern w:val="2"/>
              <w:sz w:val="22"/>
              <w:szCs w:val="22"/>
              <w:u w:val="none"/>
              <w:lang w:val="en-US" w:eastAsia="zh-CN" w:bidi="ar-SA"/>
            </w:rPr>
            <w:br w:type="textWrapping"/>
          </w:r>
          <w:r>
            <w:rPr>
              <w:rFonts w:hint="default" w:ascii="Times New Roman" w:hAnsi="Times New Roman" w:cs="Times New Roman"/>
              <w:kern w:val="2"/>
              <w:sz w:val="22"/>
              <w:szCs w:val="22"/>
              <w:u w:val="none"/>
              <w:lang w:val="en-US" w:eastAsia="zh-CN" w:bidi="ar-SA"/>
            </w:rPr>
            <w:t>附件二  清洁生产审核后公示</w:t>
          </w:r>
        </w:p>
        <w:p>
          <w:pPr>
            <w:bidi w:val="0"/>
            <w:spacing w:before="0" w:beforeLines="0" w:after="0" w:afterLines="0" w:line="360" w:lineRule="auto"/>
            <w:ind w:left="0" w:leftChars="0" w:right="0" w:rightChars="0" w:firstLine="0" w:firstLineChars="0"/>
            <w:jc w:val="both"/>
            <w:rPr>
              <w:rFonts w:hint="default" w:ascii="Times New Roman" w:hAnsi="Times New Roman" w:cs="Times New Roman" w:eastAsiaTheme="minorEastAsia"/>
              <w:kern w:val="2"/>
              <w:sz w:val="22"/>
              <w:szCs w:val="28"/>
              <w:u w:val="none"/>
              <w:lang w:val="en-US" w:eastAsia="zh-CN" w:bidi="ar-SA"/>
            </w:rPr>
          </w:pPr>
          <w:r>
            <w:rPr>
              <w:rFonts w:hint="default" w:ascii="Times New Roman" w:hAnsi="Times New Roman" w:cs="Times New Roman" w:eastAsiaTheme="minorEastAsia"/>
              <w:kern w:val="2"/>
              <w:sz w:val="22"/>
              <w:szCs w:val="22"/>
              <w:u w:val="none"/>
              <w:lang w:val="en-US" w:eastAsia="zh-CN" w:bidi="ar-SA"/>
            </w:rPr>
            <w:t>附件</w:t>
          </w:r>
          <w:r>
            <w:rPr>
              <w:rFonts w:hint="default" w:ascii="Times New Roman" w:hAnsi="Times New Roman" w:cs="Times New Roman"/>
              <w:kern w:val="2"/>
              <w:sz w:val="22"/>
              <w:szCs w:val="22"/>
              <w:u w:val="none"/>
              <w:lang w:val="en-US" w:eastAsia="zh-CN" w:bidi="ar-SA"/>
            </w:rPr>
            <w:t xml:space="preserve">三  </w:t>
          </w:r>
          <w:r>
            <w:rPr>
              <w:rFonts w:hint="default" w:ascii="Times New Roman" w:hAnsi="Times New Roman" w:cs="Times New Roman" w:eastAsiaTheme="minorEastAsia"/>
              <w:kern w:val="2"/>
              <w:sz w:val="22"/>
              <w:szCs w:val="22"/>
              <w:u w:val="none"/>
              <w:lang w:val="en-US" w:eastAsia="zh-CN" w:bidi="ar-SA"/>
            </w:rPr>
            <w:t>清洁生产审核委托书</w:t>
          </w:r>
          <w:r>
            <w:rPr>
              <w:rFonts w:hint="default" w:ascii="Times New Roman" w:hAnsi="Times New Roman" w:cs="Times New Roman" w:eastAsiaTheme="minorEastAsia"/>
              <w:kern w:val="2"/>
              <w:sz w:val="22"/>
              <w:szCs w:val="22"/>
              <w:u w:val="none"/>
              <w:lang w:val="en-US" w:eastAsia="zh-CN" w:bidi="ar-SA"/>
            </w:rPr>
            <w:br w:type="textWrapping"/>
          </w:r>
          <w:r>
            <w:rPr>
              <w:rFonts w:hint="default" w:ascii="Times New Roman" w:hAnsi="Times New Roman" w:cs="Times New Roman" w:eastAsiaTheme="minorEastAsia"/>
              <w:kern w:val="2"/>
              <w:sz w:val="22"/>
              <w:szCs w:val="22"/>
              <w:u w:val="none"/>
              <w:lang w:val="en-US" w:eastAsia="zh-CN" w:bidi="ar-SA"/>
            </w:rPr>
            <w:t>附件</w:t>
          </w:r>
          <w:r>
            <w:rPr>
              <w:rFonts w:hint="default" w:ascii="Times New Roman" w:hAnsi="Times New Roman" w:cs="Times New Roman"/>
              <w:kern w:val="2"/>
              <w:sz w:val="22"/>
              <w:szCs w:val="22"/>
              <w:u w:val="none"/>
              <w:lang w:val="en-US" w:eastAsia="zh-CN" w:bidi="ar-SA"/>
            </w:rPr>
            <w:t>四</w:t>
          </w:r>
          <w:r>
            <w:rPr>
              <w:rFonts w:hint="default" w:ascii="Times New Roman" w:hAnsi="Times New Roman" w:cs="Times New Roman" w:eastAsiaTheme="minorEastAsia"/>
              <w:kern w:val="2"/>
              <w:sz w:val="22"/>
              <w:szCs w:val="22"/>
              <w:u w:val="none"/>
              <w:lang w:val="en-US" w:eastAsia="zh-CN" w:bidi="ar-SA"/>
            </w:rPr>
            <w:t xml:space="preserve">  清洁生</w:t>
          </w:r>
          <w:r>
            <w:rPr>
              <w:rFonts w:hint="default" w:ascii="Times New Roman" w:hAnsi="Times New Roman" w:cs="Times New Roman" w:eastAsiaTheme="minorEastAsia"/>
              <w:kern w:val="2"/>
              <w:sz w:val="22"/>
              <w:szCs w:val="28"/>
              <w:u w:val="none"/>
              <w:lang w:val="en-US" w:eastAsia="zh-CN" w:bidi="ar-SA"/>
            </w:rPr>
            <w:t>产审核启动文件</w:t>
          </w:r>
          <w:r>
            <w:rPr>
              <w:rFonts w:hint="default" w:ascii="Times New Roman" w:hAnsi="Times New Roman" w:cs="Times New Roman" w:eastAsiaTheme="minorEastAsia"/>
              <w:kern w:val="2"/>
              <w:sz w:val="22"/>
              <w:szCs w:val="28"/>
              <w:u w:val="none"/>
              <w:lang w:val="en-US" w:eastAsia="zh-CN" w:bidi="ar-SA"/>
            </w:rPr>
            <w:br w:type="textWrapping"/>
          </w:r>
          <w:r>
            <w:rPr>
              <w:rFonts w:hint="default" w:ascii="Times New Roman" w:hAnsi="Times New Roman" w:cs="Times New Roman" w:eastAsiaTheme="minorEastAsia"/>
              <w:kern w:val="2"/>
              <w:sz w:val="22"/>
              <w:szCs w:val="28"/>
              <w:u w:val="none"/>
              <w:lang w:val="en-US" w:eastAsia="zh-CN" w:bidi="ar-SA"/>
            </w:rPr>
            <w:t>附件</w:t>
          </w:r>
          <w:r>
            <w:rPr>
              <w:rFonts w:hint="default" w:ascii="Times New Roman" w:hAnsi="Times New Roman" w:cs="Times New Roman"/>
              <w:kern w:val="2"/>
              <w:sz w:val="22"/>
              <w:szCs w:val="28"/>
              <w:u w:val="none"/>
              <w:lang w:val="en-US" w:eastAsia="zh-CN" w:bidi="ar-SA"/>
            </w:rPr>
            <w:t>五  行业专家意见</w:t>
          </w:r>
          <w:r>
            <w:rPr>
              <w:rFonts w:hint="default" w:ascii="Times New Roman" w:hAnsi="Times New Roman" w:cs="Times New Roman" w:eastAsiaTheme="minorEastAsia"/>
              <w:kern w:val="2"/>
              <w:sz w:val="22"/>
              <w:szCs w:val="28"/>
              <w:u w:val="none"/>
              <w:lang w:val="en-US" w:eastAsia="zh-CN" w:bidi="ar-SA"/>
            </w:rPr>
            <w:br w:type="textWrapping"/>
          </w:r>
          <w:r>
            <w:rPr>
              <w:rFonts w:hint="default" w:ascii="Times New Roman" w:hAnsi="Times New Roman" w:cs="Times New Roman" w:eastAsiaTheme="minorEastAsia"/>
              <w:kern w:val="2"/>
              <w:sz w:val="22"/>
              <w:szCs w:val="28"/>
              <w:u w:val="none"/>
              <w:lang w:val="en-US" w:eastAsia="zh-CN" w:bidi="ar-SA"/>
            </w:rPr>
            <w:t>附件</w:t>
          </w:r>
          <w:r>
            <w:rPr>
              <w:rFonts w:hint="default" w:ascii="Times New Roman" w:hAnsi="Times New Roman" w:cs="Times New Roman"/>
              <w:kern w:val="2"/>
              <w:sz w:val="22"/>
              <w:szCs w:val="28"/>
              <w:u w:val="none"/>
              <w:lang w:val="en-US" w:eastAsia="zh-CN" w:bidi="ar-SA"/>
            </w:rPr>
            <w:t>六  方案实施前检测报告</w:t>
          </w:r>
          <w:r>
            <w:rPr>
              <w:rFonts w:hint="default" w:ascii="Times New Roman" w:hAnsi="Times New Roman" w:cs="Times New Roman" w:eastAsiaTheme="minorEastAsia"/>
              <w:kern w:val="2"/>
              <w:sz w:val="22"/>
              <w:szCs w:val="28"/>
              <w:u w:val="none"/>
              <w:lang w:val="en-US" w:eastAsia="zh-CN" w:bidi="ar-SA"/>
            </w:rPr>
            <w:br w:type="textWrapping"/>
          </w:r>
          <w:r>
            <w:rPr>
              <w:rFonts w:hint="default" w:ascii="Times New Roman" w:hAnsi="Times New Roman" w:cs="Times New Roman" w:eastAsiaTheme="minorEastAsia"/>
              <w:kern w:val="2"/>
              <w:sz w:val="22"/>
              <w:szCs w:val="28"/>
              <w:u w:val="none"/>
              <w:lang w:val="en-US" w:eastAsia="zh-CN" w:bidi="ar-SA"/>
            </w:rPr>
            <w:t>附件</w:t>
          </w:r>
          <w:r>
            <w:rPr>
              <w:rFonts w:hint="default" w:ascii="Times New Roman" w:hAnsi="Times New Roman" w:cs="Times New Roman"/>
              <w:kern w:val="2"/>
              <w:sz w:val="22"/>
              <w:szCs w:val="28"/>
              <w:u w:val="none"/>
              <w:lang w:val="en-US" w:eastAsia="zh-CN" w:bidi="ar-SA"/>
            </w:rPr>
            <w:t>七  方案实施后检测报告</w:t>
          </w:r>
        </w:p>
        <w:p>
          <w:pPr>
            <w:bidi w:val="0"/>
            <w:spacing w:before="0" w:beforeLines="0" w:after="0" w:afterLines="0" w:line="360" w:lineRule="auto"/>
            <w:ind w:left="0" w:leftChars="0" w:right="0" w:rightChars="0" w:firstLine="0" w:firstLineChars="0"/>
            <w:jc w:val="both"/>
            <w:rPr>
              <w:rFonts w:hint="default" w:ascii="Times New Roman" w:hAnsi="Times New Roman" w:cs="Times New Roman"/>
              <w:kern w:val="2"/>
              <w:sz w:val="22"/>
              <w:szCs w:val="28"/>
              <w:u w:val="none"/>
              <w:lang w:val="en-US" w:eastAsia="zh-CN" w:bidi="ar-SA"/>
            </w:rPr>
          </w:pPr>
          <w:r>
            <w:rPr>
              <w:rFonts w:hint="default" w:ascii="Times New Roman" w:hAnsi="Times New Roman" w:cs="Times New Roman" w:eastAsiaTheme="minorEastAsia"/>
              <w:kern w:val="2"/>
              <w:sz w:val="22"/>
              <w:szCs w:val="28"/>
              <w:u w:val="none"/>
              <w:lang w:val="en-US" w:eastAsia="zh-CN" w:bidi="ar-SA"/>
            </w:rPr>
            <w:t>附件</w:t>
          </w:r>
          <w:r>
            <w:rPr>
              <w:rFonts w:hint="default" w:ascii="Times New Roman" w:hAnsi="Times New Roman" w:cs="Times New Roman"/>
              <w:kern w:val="2"/>
              <w:sz w:val="22"/>
              <w:szCs w:val="28"/>
              <w:u w:val="none"/>
              <w:lang w:val="en-US" w:eastAsia="zh-CN" w:bidi="ar-SA"/>
            </w:rPr>
            <w:t>八  环保手续文件</w:t>
          </w:r>
          <w:r>
            <w:rPr>
              <w:rFonts w:hint="default" w:ascii="Times New Roman" w:hAnsi="Times New Roman" w:cs="Times New Roman"/>
              <w:kern w:val="2"/>
              <w:sz w:val="22"/>
              <w:szCs w:val="28"/>
              <w:u w:val="none"/>
              <w:lang w:val="en-US" w:eastAsia="zh-CN" w:bidi="ar-SA"/>
            </w:rPr>
            <w:br w:type="textWrapping"/>
          </w:r>
          <w:r>
            <w:rPr>
              <w:rFonts w:hint="default" w:ascii="Times New Roman" w:hAnsi="Times New Roman" w:cs="Times New Roman"/>
              <w:kern w:val="2"/>
              <w:sz w:val="22"/>
              <w:szCs w:val="28"/>
              <w:u w:val="none"/>
              <w:lang w:val="en-US" w:eastAsia="zh-CN" w:bidi="ar-SA"/>
            </w:rPr>
            <w:t>附件九  排污许可证</w:t>
          </w:r>
          <w:r>
            <w:rPr>
              <w:rFonts w:hint="default" w:ascii="Times New Roman" w:hAnsi="Times New Roman" w:cs="Times New Roman"/>
              <w:kern w:val="2"/>
              <w:sz w:val="22"/>
              <w:szCs w:val="28"/>
              <w:u w:val="none"/>
              <w:lang w:val="en-US" w:eastAsia="zh-CN" w:bidi="ar-SA"/>
            </w:rPr>
            <w:br w:type="textWrapping"/>
          </w:r>
          <w:r>
            <w:rPr>
              <w:rFonts w:hint="default" w:ascii="Times New Roman" w:hAnsi="Times New Roman" w:cs="Times New Roman"/>
              <w:kern w:val="2"/>
              <w:sz w:val="22"/>
              <w:szCs w:val="28"/>
              <w:u w:val="none"/>
              <w:lang w:val="en-US" w:eastAsia="zh-CN" w:bidi="ar-SA"/>
            </w:rPr>
            <w:t>附件十  危废转运协议</w:t>
          </w:r>
          <w:r>
            <w:rPr>
              <w:rFonts w:hint="default" w:ascii="Times New Roman" w:hAnsi="Times New Roman" w:cs="Times New Roman"/>
              <w:kern w:val="2"/>
              <w:sz w:val="22"/>
              <w:szCs w:val="28"/>
              <w:u w:val="none"/>
              <w:lang w:val="en-US" w:eastAsia="zh-CN" w:bidi="ar-SA"/>
            </w:rPr>
            <w:br w:type="textWrapping"/>
          </w:r>
          <w:r>
            <w:rPr>
              <w:rFonts w:hint="default" w:ascii="Times New Roman" w:hAnsi="Times New Roman" w:cs="Times New Roman"/>
              <w:kern w:val="2"/>
              <w:sz w:val="22"/>
              <w:szCs w:val="28"/>
              <w:u w:val="none"/>
              <w:lang w:val="en-US" w:eastAsia="zh-CN" w:bidi="ar-SA"/>
            </w:rPr>
            <w:t>附件十一  中高费方案实施合同</w:t>
          </w:r>
          <w:r>
            <w:rPr>
              <w:rFonts w:hint="default" w:ascii="Times New Roman" w:hAnsi="Times New Roman" w:cs="Times New Roman"/>
              <w:kern w:val="2"/>
              <w:sz w:val="22"/>
              <w:szCs w:val="28"/>
              <w:u w:val="none"/>
              <w:lang w:val="en-US" w:eastAsia="zh-CN" w:bidi="ar-SA"/>
            </w:rPr>
            <w:br w:type="textWrapping"/>
          </w:r>
          <w:r>
            <w:rPr>
              <w:rFonts w:hint="default" w:ascii="Times New Roman" w:hAnsi="Times New Roman" w:cs="Times New Roman"/>
              <w:kern w:val="2"/>
              <w:sz w:val="22"/>
              <w:szCs w:val="28"/>
              <w:u w:val="none"/>
              <w:lang w:val="en-US" w:eastAsia="zh-CN" w:bidi="ar-SA"/>
            </w:rPr>
            <w:t>附件十二  项目清洁生产中期审核意见</w:t>
          </w:r>
          <w:r>
            <w:rPr>
              <w:rFonts w:hint="default" w:ascii="Times New Roman" w:hAnsi="Times New Roman" w:cs="Times New Roman"/>
              <w:kern w:val="2"/>
              <w:sz w:val="22"/>
              <w:szCs w:val="28"/>
              <w:u w:val="none"/>
              <w:lang w:val="en-US" w:eastAsia="zh-CN" w:bidi="ar-SA"/>
            </w:rPr>
            <w:br w:type="textWrapping"/>
          </w:r>
          <w:r>
            <w:rPr>
              <w:rFonts w:hint="default" w:ascii="Times New Roman" w:hAnsi="Times New Roman" w:cs="Times New Roman"/>
              <w:kern w:val="2"/>
              <w:sz w:val="22"/>
              <w:szCs w:val="28"/>
              <w:u w:val="none"/>
              <w:lang w:val="en-US" w:eastAsia="zh-CN" w:bidi="ar-SA"/>
            </w:rPr>
            <w:t>附件十三  危险废物转移联单</w:t>
          </w:r>
        </w:p>
        <w:p>
          <w:pPr>
            <w:bidi w:val="0"/>
            <w:spacing w:before="0" w:beforeLines="0" w:after="0" w:afterLines="0" w:line="360" w:lineRule="auto"/>
            <w:ind w:left="0" w:leftChars="0" w:right="0" w:rightChars="0" w:firstLine="0" w:firstLineChars="0"/>
            <w:jc w:val="both"/>
            <w:rPr>
              <w:rFonts w:hint="default" w:ascii="Times New Roman" w:hAnsi="Times New Roman" w:cs="Times New Roman"/>
              <w:kern w:val="2"/>
              <w:sz w:val="22"/>
              <w:szCs w:val="28"/>
              <w:u w:val="none"/>
              <w:lang w:val="en-US" w:eastAsia="zh-CN" w:bidi="ar-SA"/>
            </w:rPr>
          </w:pPr>
          <w:r>
            <w:rPr>
              <w:rFonts w:hint="default" w:ascii="Times New Roman" w:hAnsi="Times New Roman" w:cs="Times New Roman"/>
              <w:kern w:val="2"/>
              <w:sz w:val="22"/>
              <w:szCs w:val="28"/>
              <w:u w:val="none"/>
              <w:lang w:val="en-US" w:eastAsia="zh-CN" w:bidi="ar-SA"/>
            </w:rPr>
            <w:t>附件十四  突发环境事件应急预案备案表</w:t>
          </w:r>
        </w:p>
        <w:p>
          <w:pPr>
            <w:shd w:val="clear"/>
            <w:bidi w:val="0"/>
            <w:spacing w:before="0" w:beforeLines="0" w:after="0" w:afterLines="0" w:line="360" w:lineRule="auto"/>
            <w:ind w:left="0" w:leftChars="0" w:right="0" w:rightChars="0" w:firstLine="0" w:firstLineChars="0"/>
            <w:jc w:val="both"/>
            <w:rPr>
              <w:rFonts w:hint="default" w:ascii="Times New Roman" w:hAnsi="Times New Roman" w:cs="Times New Roman" w:eastAsiaTheme="minorEastAsia"/>
              <w:kern w:val="2"/>
              <w:sz w:val="22"/>
              <w:szCs w:val="28"/>
              <w:lang w:val="en-US" w:eastAsia="zh-CN" w:bidi="ar-SA"/>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kern w:val="2"/>
              <w:sz w:val="22"/>
              <w:szCs w:val="28"/>
              <w:u w:val="none"/>
              <w:lang w:val="en-US" w:eastAsia="zh-CN" w:bidi="ar-SA"/>
            </w:rPr>
            <w:t>附件十五  清洁生产方案征询表</w:t>
          </w:r>
        </w:p>
      </w:sdtContent>
    </w:sdt>
    <w:p>
      <w:pPr>
        <w:spacing w:line="360" w:lineRule="auto"/>
        <w:jc w:val="center"/>
        <w:outlineLvl w:val="0"/>
        <w:rPr>
          <w:rFonts w:hint="default" w:ascii="Times New Roman" w:hAnsi="Times New Roman" w:cs="Times New Roman" w:eastAsiaTheme="minorEastAsia"/>
          <w:b/>
          <w:kern w:val="44"/>
          <w:sz w:val="44"/>
          <w:szCs w:val="24"/>
          <w:lang w:val="en-US" w:eastAsia="zh-CN" w:bidi="ar-SA"/>
        </w:rPr>
      </w:pPr>
      <w:bookmarkStart w:id="24" w:name="_Toc12387"/>
      <w:bookmarkStart w:id="25" w:name="_Toc488"/>
      <w:bookmarkStart w:id="26" w:name="_Toc11126"/>
      <w:bookmarkStart w:id="27" w:name="_Toc4291"/>
      <w:bookmarkStart w:id="28" w:name="_Toc8344"/>
      <w:r>
        <w:rPr>
          <w:rFonts w:hint="default" w:ascii="Times New Roman" w:hAnsi="Times New Roman" w:cs="Times New Roman" w:eastAsiaTheme="minorEastAsia"/>
          <w:b/>
          <w:kern w:val="44"/>
          <w:sz w:val="44"/>
          <w:szCs w:val="24"/>
          <w:lang w:val="en-US" w:eastAsia="zh-CN" w:bidi="ar-SA"/>
        </w:rPr>
        <w:t>前言</w:t>
      </w:r>
      <w:bookmarkEnd w:id="24"/>
      <w:bookmarkEnd w:id="25"/>
      <w:bookmarkEnd w:id="26"/>
      <w:bookmarkEnd w:id="27"/>
      <w:bookmarkEnd w:id="28"/>
    </w:p>
    <w:p>
      <w:pPr>
        <w:keepNext w:val="0"/>
        <w:keepLines w:val="0"/>
        <w:widowControl/>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清洁生产是一种全新的经济发展战略，是实现可持续发展的关键因素。清洁生产借助各种相关理论和技术，在产品的整个生命周期的各个环节采取“预防”措施，将生产技术、生产过程、经营管理及产品等方面与物流、能量、信息等要素有机的结合起来，并优化运行方式，从而实现最小的环境影响、最少的资源能源使用、最佳的管理模式以及最优化的经济增长水平，为社会经济活动提供必需的资源和能源，从而实现经济的可持续发展。</w:t>
      </w:r>
    </w:p>
    <w:p>
      <w:pPr>
        <w:keepNext w:val="0"/>
        <w:keepLines w:val="0"/>
        <w:widowControl/>
        <w:numPr>
          <w:ilvl w:val="0"/>
          <w:numId w:val="0"/>
        </w:numPr>
        <w:suppressLineNumbers w:val="0"/>
        <w:spacing w:line="360" w:lineRule="auto"/>
        <w:ind w:firstLine="480" w:firstLineChars="200"/>
        <w:jc w:val="both"/>
        <w:outlineLvl w:val="0"/>
        <w:rPr>
          <w:rFonts w:hint="default" w:ascii="Times New Roman" w:hAnsi="Times New Roman" w:eastAsia="宋体" w:cs="Times New Roman"/>
          <w:color w:val="000000"/>
          <w:kern w:val="0"/>
          <w:sz w:val="24"/>
          <w:szCs w:val="24"/>
          <w:lang w:val="en-US" w:eastAsia="zh-CN" w:bidi="ar"/>
        </w:rPr>
      </w:pPr>
      <w:bookmarkStart w:id="29" w:name="_Toc3018"/>
      <w:bookmarkStart w:id="30" w:name="_Toc28073"/>
      <w:bookmarkStart w:id="31" w:name="_Toc24522"/>
      <w:bookmarkStart w:id="32" w:name="_Toc13462"/>
      <w:bookmarkStart w:id="33" w:name="_Toc28959"/>
      <w:bookmarkStart w:id="34" w:name="_Toc9599"/>
      <w:r>
        <w:rPr>
          <w:rFonts w:hint="default" w:ascii="Times New Roman" w:hAnsi="Times New Roman" w:eastAsia="宋体" w:cs="Times New Roman"/>
          <w:color w:val="000000"/>
          <w:kern w:val="0"/>
          <w:sz w:val="24"/>
          <w:szCs w:val="24"/>
          <w:lang w:val="en-US" w:eastAsia="zh-CN" w:bidi="ar"/>
        </w:rPr>
        <w:t>一、推行清洁生产的重要性</w:t>
      </w:r>
      <w:bookmarkEnd w:id="29"/>
      <w:bookmarkEnd w:id="30"/>
      <w:bookmarkEnd w:id="31"/>
      <w:bookmarkEnd w:id="32"/>
      <w:bookmarkEnd w:id="33"/>
      <w:bookmarkEnd w:id="34"/>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清洁生产是指通过不断改进设计、使用清洁的原料和能源、采用先进工艺技术和设备、改善管理等措施，从源头削减污染、提高资源利用效率，减少或避免生产、产品使用过程中污染物的产排。清洁生产的观念主要强调三个重点：清洁能源、清洁生产过程、清洁产品。</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2016年为了落实《中华人民共和国清洁生产促进法》，进一步规范清洁生产审核程序，也为了更好地指导地方政府和企业开展清洁生产审核，发改委和环保部联合发布了修订后的《清洁生产审核办法》，并于 2016 年 7 月 1 日起正式实施。这是我国环境保护方向的重大转变，它指明了我国生产领域，特别是工业生产领域的发展方向。推行清洁生产实施可持续发展战略，是我国经济建设应遵循的根本方针，也是工业污染防治的根本任务。</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十九大提出推动新型工业化、信息化、城镇化、农业现代化同步发展， 加快生态文明体制改革，建设美丽中国。推进绿色发展，构建市场导向的绿色技术创新体系，发展绿色金融，壮大节能环保产业、清洁生产产业、清洁能源产业。推进能源生产和消费革命，构建清洁低碳、安全高效的能源体系。推进资源全面节约和循环利用，实施国家节水行动，降低能耗、物耗，实现生产系统和生活系统循环链接。</w:t>
      </w:r>
    </w:p>
    <w:p>
      <w:pPr>
        <w:keepNext w:val="0"/>
        <w:keepLines w:val="0"/>
        <w:widowControl/>
        <w:numPr>
          <w:ilvl w:val="0"/>
          <w:numId w:val="0"/>
        </w:numPr>
        <w:suppressLineNumbers w:val="0"/>
        <w:spacing w:line="360" w:lineRule="auto"/>
        <w:ind w:firstLine="480" w:firstLineChars="200"/>
        <w:jc w:val="both"/>
        <w:outlineLvl w:val="0"/>
        <w:rPr>
          <w:rFonts w:hint="default" w:ascii="Times New Roman" w:hAnsi="Times New Roman" w:eastAsia="宋体" w:cs="Times New Roman"/>
          <w:color w:val="000000"/>
          <w:kern w:val="0"/>
          <w:sz w:val="24"/>
          <w:szCs w:val="24"/>
          <w:lang w:val="en-US" w:eastAsia="zh-CN" w:bidi="ar"/>
        </w:rPr>
      </w:pPr>
      <w:bookmarkStart w:id="35" w:name="_Toc15647"/>
      <w:bookmarkStart w:id="36" w:name="_Toc23626"/>
      <w:bookmarkStart w:id="37" w:name="_Toc23714"/>
      <w:bookmarkStart w:id="38" w:name="_Toc1054"/>
      <w:bookmarkStart w:id="39" w:name="_Toc19729"/>
      <w:bookmarkStart w:id="40" w:name="_Toc6380"/>
      <w:r>
        <w:rPr>
          <w:rFonts w:hint="default" w:ascii="Times New Roman" w:hAnsi="Times New Roman" w:eastAsia="宋体" w:cs="Times New Roman"/>
          <w:color w:val="000000"/>
          <w:kern w:val="0"/>
          <w:sz w:val="24"/>
          <w:szCs w:val="24"/>
          <w:lang w:val="en-US" w:eastAsia="zh-CN" w:bidi="ar"/>
        </w:rPr>
        <w:t>二、清洁生产审核涵义</w:t>
      </w:r>
      <w:bookmarkEnd w:id="35"/>
      <w:bookmarkEnd w:id="36"/>
      <w:bookmarkEnd w:id="37"/>
      <w:bookmarkEnd w:id="38"/>
      <w:bookmarkEnd w:id="39"/>
      <w:bookmarkEnd w:id="40"/>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清洁生产审核是对企业现在的和计划进行的工业生产实行预防污染的分析和评估程序，是企业实行清洁生产的重要前提。在实行预防污染的分析和评估过程中，制定并实施减少能源、水和原材料使用，消除或减少产品和生产过程中有毒物质的使用，减少各种废物排放及其毒性的方案。</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清洁生产审核是一套科学性、系统性、操作性很强的工作程序。它遵循五个基本原理（逐步深入、分层嵌入、反复迭代、物质守恒、穷尽枚举），由三个层次（判明废物来源，分析废物成因，提出减免措施）、八条途径（原辅材料和能源，技术工艺，设备，过程控制，产品，废物，管理，员工）、七个阶段和35个步骤组成，以实现“节能、降耗、减污、增效”为最终目的。</w:t>
      </w:r>
    </w:p>
    <w:p>
      <w:pPr>
        <w:keepNext w:val="0"/>
        <w:keepLines w:val="0"/>
        <w:widowControl/>
        <w:numPr>
          <w:ilvl w:val="0"/>
          <w:numId w:val="0"/>
        </w:numPr>
        <w:suppressLineNumbers w:val="0"/>
        <w:spacing w:line="360" w:lineRule="auto"/>
        <w:ind w:firstLine="480" w:firstLineChars="200"/>
        <w:jc w:val="both"/>
        <w:outlineLvl w:val="0"/>
        <w:rPr>
          <w:rFonts w:hint="default" w:ascii="Times New Roman" w:hAnsi="Times New Roman" w:eastAsia="宋体" w:cs="Times New Roman"/>
          <w:color w:val="auto"/>
          <w:kern w:val="0"/>
          <w:sz w:val="24"/>
          <w:szCs w:val="24"/>
          <w:lang w:val="en-US" w:eastAsia="zh-CN" w:bidi="ar"/>
        </w:rPr>
      </w:pPr>
      <w:bookmarkStart w:id="41" w:name="_Toc23527"/>
      <w:bookmarkStart w:id="42" w:name="_Toc5053"/>
      <w:bookmarkStart w:id="43" w:name="_Toc4190"/>
      <w:bookmarkStart w:id="44" w:name="_Toc25455"/>
      <w:bookmarkStart w:id="45" w:name="_Toc11738"/>
      <w:bookmarkStart w:id="46" w:name="_Toc1392"/>
      <w:r>
        <w:rPr>
          <w:rFonts w:hint="default" w:ascii="Times New Roman" w:hAnsi="Times New Roman" w:eastAsia="宋体" w:cs="Times New Roman"/>
          <w:color w:val="auto"/>
          <w:kern w:val="0"/>
          <w:sz w:val="24"/>
          <w:szCs w:val="24"/>
          <w:lang w:val="en-US" w:eastAsia="zh-CN" w:bidi="ar"/>
        </w:rPr>
        <w:t>三、本次审核意义</w:t>
      </w:r>
      <w:bookmarkEnd w:id="41"/>
      <w:bookmarkEnd w:id="42"/>
      <w:bookmarkEnd w:id="43"/>
      <w:bookmarkEnd w:id="44"/>
      <w:bookmarkEnd w:id="45"/>
      <w:bookmarkEnd w:id="46"/>
    </w:p>
    <w:p>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auto"/>
        </w:rPr>
      </w:pPr>
      <w:r>
        <w:rPr>
          <w:rFonts w:hint="default" w:ascii="Times New Roman" w:hAnsi="Times New Roman" w:eastAsia="宋体" w:cs="Times New Roman"/>
          <w:color w:val="auto"/>
          <w:kern w:val="0"/>
          <w:sz w:val="24"/>
          <w:szCs w:val="24"/>
          <w:lang w:val="en-US" w:eastAsia="zh-CN" w:bidi="ar"/>
        </w:rPr>
        <w:t>本企业目前主要产品为电镀的电池钢壳，生产过程中水电能源消耗较大，通过本轮清洁生产审核得到改善。</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（1）推行清洁生产可促进企业提高资源利用效率</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清洁生产是一种先进的生产模式，帮助企业从源头到末端全过程控制，在提高产品产出效率的同时，最大限度的减少原料的浪费，实现资源的合理利用，降低了生产成本，从而使公司经济效益达到最大化。</w:t>
      </w:r>
    </w:p>
    <w:p>
      <w:pPr>
        <w:keepNext w:val="0"/>
        <w:keepLines w:val="0"/>
        <w:widowControl/>
        <w:numPr>
          <w:ilvl w:val="0"/>
          <w:numId w:val="0"/>
        </w:numPr>
        <w:suppressLineNumbers w:val="0"/>
        <w:spacing w:line="360" w:lineRule="auto"/>
        <w:ind w:left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（2）推行清洁生产可减小对环境的污染</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通过清洁生产，不断改善公司不合理的生产工艺，减少有毒原料的使用及有害污染物的产生，同时强化了公司员工的环保意识，不仅可减少末端治理设施的建设投资，也减少了公司生产对周围环境的影响。</w:t>
      </w:r>
    </w:p>
    <w:p>
      <w:pPr>
        <w:keepNext w:val="0"/>
        <w:keepLines w:val="0"/>
        <w:widowControl/>
        <w:numPr>
          <w:ilvl w:val="0"/>
          <w:numId w:val="0"/>
        </w:numPr>
        <w:suppressLineNumbers w:val="0"/>
        <w:spacing w:line="360" w:lineRule="auto"/>
        <w:ind w:left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（3）推行清洁生产可提高公司的市场竞争力</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清洁生产是一个系统工程，一方面它提倡通过工艺改造、设备更新、废物回收利用途径，实现“节能、降耗、减污、增效”，从而降低生产成本，提高企业综合效益；另一方面它强调提高企业管理水平，提高全体员工的整体素质，同时清洁生产可有效改善员工劳动环境，减轻生产过程对员工健康影响，为企业树立良好社会象形，促使公众对其产品支持，提高公司的市场竞争力。</w:t>
      </w:r>
    </w:p>
    <w:p>
      <w:pPr>
        <w:spacing w:line="360" w:lineRule="auto"/>
        <w:ind w:firstLine="480" w:firstLineChars="200"/>
        <w:jc w:val="both"/>
        <w:rPr>
          <w:rFonts w:hint="default" w:ascii="Times New Roman" w:hAnsi="Times New Roman" w:cs="Times New Roman"/>
          <w:b w:val="0"/>
          <w:bCs w:val="0"/>
          <w:sz w:val="24"/>
          <w:szCs w:val="24"/>
          <w:highlight w:val="yellow"/>
          <w:lang w:eastAsia="zh-CN"/>
        </w:rPr>
      </w:pPr>
      <w:r>
        <w:rPr>
          <w:rFonts w:hint="default" w:ascii="Times New Roman" w:hAnsi="Times New Roman" w:cs="Times New Roman"/>
          <w:b w:val="0"/>
          <w:bCs w:val="0"/>
          <w:sz w:val="24"/>
          <w:szCs w:val="24"/>
          <w:lang w:eastAsia="zh-CN"/>
        </w:rPr>
        <w:t>新乡市俊业新材料有限公司成立</w:t>
      </w:r>
      <w:r>
        <w:rPr>
          <w:rFonts w:hint="default" w:ascii="Times New Roman" w:hAnsi="Times New Roman" w:cs="Times New Roman"/>
          <w:b w:val="0"/>
          <w:bCs w:val="0"/>
          <w:sz w:val="24"/>
          <w:szCs w:val="24"/>
          <w:highlight w:val="none"/>
          <w:lang w:eastAsia="zh-CN"/>
        </w:rPr>
        <w:t>于200</w:t>
      </w:r>
      <w:r>
        <w:rPr>
          <w:rFonts w:hint="default" w:ascii="Times New Roman" w:hAnsi="Times New Roman" w:cs="Times New Roman"/>
          <w:b w:val="0"/>
          <w:bCs w:val="0"/>
          <w:sz w:val="24"/>
          <w:szCs w:val="24"/>
          <w:highlight w:val="none"/>
          <w:lang w:val="en-US" w:eastAsia="zh-CN"/>
        </w:rPr>
        <w:t>2</w:t>
      </w:r>
      <w:r>
        <w:rPr>
          <w:rFonts w:hint="default" w:ascii="Times New Roman" w:hAnsi="Times New Roman" w:cs="Times New Roman"/>
          <w:b w:val="0"/>
          <w:bCs w:val="0"/>
          <w:sz w:val="24"/>
          <w:szCs w:val="24"/>
          <w:highlight w:val="none"/>
          <w:lang w:eastAsia="zh-CN"/>
        </w:rPr>
        <w:t>年</w:t>
      </w:r>
      <w:r>
        <w:rPr>
          <w:rFonts w:hint="default" w:ascii="Times New Roman" w:hAnsi="Times New Roman" w:cs="Times New Roman"/>
          <w:b w:val="0"/>
          <w:bCs w:val="0"/>
          <w:sz w:val="24"/>
          <w:szCs w:val="24"/>
          <w:highlight w:val="none"/>
          <w:lang w:val="en-US" w:eastAsia="zh-CN"/>
        </w:rPr>
        <w:t>11</w:t>
      </w:r>
      <w:r>
        <w:rPr>
          <w:rFonts w:hint="default" w:ascii="Times New Roman" w:hAnsi="Times New Roman" w:cs="Times New Roman"/>
          <w:b w:val="0"/>
          <w:bCs w:val="0"/>
          <w:sz w:val="24"/>
          <w:szCs w:val="24"/>
          <w:highlight w:val="none"/>
          <w:lang w:eastAsia="zh-CN"/>
        </w:rPr>
        <w:t>月</w:t>
      </w:r>
      <w:r>
        <w:rPr>
          <w:rFonts w:hint="default" w:ascii="Times New Roman" w:hAnsi="Times New Roman" w:cs="Times New Roman"/>
          <w:b w:val="0"/>
          <w:bCs w:val="0"/>
          <w:sz w:val="24"/>
          <w:szCs w:val="24"/>
          <w:highlight w:val="none"/>
          <w:lang w:val="en-US" w:eastAsia="zh-CN"/>
        </w:rPr>
        <w:t>11</w:t>
      </w:r>
      <w:r>
        <w:rPr>
          <w:rFonts w:hint="default" w:ascii="Times New Roman" w:hAnsi="Times New Roman" w:cs="Times New Roman"/>
          <w:b w:val="0"/>
          <w:bCs w:val="0"/>
          <w:sz w:val="24"/>
          <w:szCs w:val="24"/>
          <w:highlight w:val="none"/>
          <w:lang w:eastAsia="zh-CN"/>
        </w:rPr>
        <w:t>日，厂址位于新乡市牧野区西马坊村北，统一社会信用代码：91410711744079786Y，占地面积6700m</w:t>
      </w:r>
      <w:r>
        <w:rPr>
          <w:rFonts w:hint="default" w:ascii="Times New Roman" w:hAnsi="Times New Roman" w:cs="Times New Roman"/>
          <w:b w:val="0"/>
          <w:bCs w:val="0"/>
          <w:sz w:val="24"/>
          <w:szCs w:val="24"/>
          <w:highlight w:val="none"/>
          <w:vertAlign w:val="superscript"/>
          <w:lang w:eastAsia="zh-CN"/>
        </w:rPr>
        <w:t>2</w:t>
      </w:r>
      <w:r>
        <w:rPr>
          <w:rFonts w:hint="default" w:ascii="Times New Roman" w:hAnsi="Times New Roman" w:cs="Times New Roman"/>
          <w:b w:val="0"/>
          <w:bCs w:val="0"/>
          <w:sz w:val="24"/>
          <w:szCs w:val="24"/>
          <w:highlight w:val="none"/>
          <w:lang w:eastAsia="zh-CN"/>
        </w:rPr>
        <w:t>，注册资金316万元。20</w:t>
      </w:r>
      <w:r>
        <w:rPr>
          <w:rFonts w:hint="default" w:ascii="Times New Roman" w:hAnsi="Times New Roman" w:cs="Times New Roman"/>
          <w:b w:val="0"/>
          <w:bCs w:val="0"/>
          <w:sz w:val="24"/>
          <w:szCs w:val="24"/>
          <w:highlight w:val="none"/>
          <w:lang w:val="en-US" w:eastAsia="zh-CN"/>
        </w:rPr>
        <w:t>19</w:t>
      </w:r>
      <w:r>
        <w:rPr>
          <w:rFonts w:hint="default" w:ascii="Times New Roman" w:hAnsi="Times New Roman" w:cs="Times New Roman"/>
          <w:b w:val="0"/>
          <w:bCs w:val="0"/>
          <w:sz w:val="24"/>
          <w:szCs w:val="24"/>
          <w:highlight w:val="none"/>
          <w:lang w:eastAsia="zh-CN"/>
        </w:rPr>
        <w:t>年</w:t>
      </w:r>
      <w:r>
        <w:rPr>
          <w:rFonts w:hint="default" w:ascii="Times New Roman" w:hAnsi="Times New Roman" w:cs="Times New Roman"/>
          <w:b w:val="0"/>
          <w:bCs w:val="0"/>
          <w:sz w:val="24"/>
          <w:szCs w:val="24"/>
          <w:highlight w:val="none"/>
          <w:lang w:val="en-US" w:eastAsia="zh-CN"/>
        </w:rPr>
        <w:t>6</w:t>
      </w:r>
      <w:r>
        <w:rPr>
          <w:rFonts w:hint="default" w:ascii="Times New Roman" w:hAnsi="Times New Roman" w:cs="Times New Roman"/>
          <w:b w:val="0"/>
          <w:bCs w:val="0"/>
          <w:sz w:val="24"/>
          <w:szCs w:val="24"/>
          <w:highlight w:val="none"/>
          <w:lang w:eastAsia="zh-CN"/>
        </w:rPr>
        <w:t>月</w:t>
      </w:r>
      <w:r>
        <w:rPr>
          <w:rFonts w:hint="default" w:ascii="Times New Roman" w:hAnsi="Times New Roman" w:cs="Times New Roman"/>
          <w:b w:val="0"/>
          <w:bCs w:val="0"/>
          <w:sz w:val="24"/>
          <w:szCs w:val="24"/>
          <w:highlight w:val="none"/>
          <w:lang w:val="en-US" w:eastAsia="zh-CN"/>
        </w:rPr>
        <w:t>19日</w:t>
      </w:r>
      <w:r>
        <w:rPr>
          <w:rFonts w:hint="default" w:ascii="Times New Roman" w:hAnsi="Times New Roman" w:cs="Times New Roman"/>
          <w:b w:val="0"/>
          <w:bCs w:val="0"/>
          <w:sz w:val="24"/>
          <w:szCs w:val="24"/>
          <w:highlight w:val="none"/>
          <w:lang w:eastAsia="zh-CN"/>
        </w:rPr>
        <w:t>取得排污许可证，证书编号：91410711744079786Y001</w:t>
      </w:r>
      <w:r>
        <w:rPr>
          <w:rFonts w:hint="default" w:ascii="Times New Roman" w:hAnsi="Times New Roman" w:cs="Times New Roman"/>
          <w:b w:val="0"/>
          <w:bCs w:val="0"/>
          <w:sz w:val="24"/>
          <w:szCs w:val="24"/>
          <w:highlight w:val="none"/>
          <w:lang w:val="en-US" w:eastAsia="zh-CN"/>
        </w:rPr>
        <w:t>P</w:t>
      </w:r>
      <w:r>
        <w:rPr>
          <w:rFonts w:hint="default" w:ascii="Times New Roman" w:hAnsi="Times New Roman" w:cs="Times New Roman"/>
          <w:b w:val="0"/>
          <w:bCs w:val="0"/>
          <w:sz w:val="24"/>
          <w:szCs w:val="24"/>
          <w:highlight w:val="none"/>
          <w:lang w:eastAsia="zh-CN"/>
        </w:rPr>
        <w:t>。</w:t>
      </w:r>
    </w:p>
    <w:p>
      <w:pPr>
        <w:spacing w:line="360" w:lineRule="auto"/>
        <w:ind w:firstLine="480" w:firstLineChars="200"/>
        <w:jc w:val="both"/>
        <w:rPr>
          <w:rFonts w:hint="default" w:ascii="Times New Roman" w:hAnsi="Times New Roman" w:cs="Times New Roman"/>
          <w:b w:val="0"/>
          <w:bCs w:val="0"/>
          <w:sz w:val="24"/>
          <w:szCs w:val="24"/>
          <w:lang w:eastAsia="zh-CN"/>
        </w:rPr>
      </w:pPr>
      <w:r>
        <w:rPr>
          <w:rFonts w:hint="default" w:ascii="Times New Roman" w:hAnsi="Times New Roman" w:cs="Times New Roman"/>
          <w:b w:val="0"/>
          <w:bCs w:val="0"/>
          <w:sz w:val="24"/>
          <w:szCs w:val="24"/>
          <w:lang w:eastAsia="zh-CN"/>
        </w:rPr>
        <w:t>“新乡市俊业新材料有限公司年产冲孔镀镍钢带240吨、钢壳8000万只项目”于201</w:t>
      </w:r>
      <w:r>
        <w:rPr>
          <w:rFonts w:hint="default" w:ascii="Times New Roman" w:hAnsi="Times New Roman" w:cs="Times New Roman"/>
          <w:b w:val="0"/>
          <w:bCs w:val="0"/>
          <w:sz w:val="24"/>
          <w:szCs w:val="24"/>
          <w:lang w:val="en-US" w:eastAsia="zh-CN"/>
        </w:rPr>
        <w:t>3</w:t>
      </w:r>
      <w:r>
        <w:rPr>
          <w:rFonts w:hint="default" w:ascii="Times New Roman" w:hAnsi="Times New Roman" w:cs="Times New Roman"/>
          <w:b w:val="0"/>
          <w:bCs w:val="0"/>
          <w:sz w:val="24"/>
          <w:szCs w:val="24"/>
          <w:lang w:eastAsia="zh-CN"/>
        </w:rPr>
        <w:t>年</w:t>
      </w:r>
      <w:r>
        <w:rPr>
          <w:rFonts w:hint="default" w:ascii="Times New Roman" w:hAnsi="Times New Roman" w:cs="Times New Roman"/>
          <w:b w:val="0"/>
          <w:bCs w:val="0"/>
          <w:sz w:val="24"/>
          <w:szCs w:val="24"/>
          <w:lang w:val="en-US" w:eastAsia="zh-CN"/>
        </w:rPr>
        <w:t>6</w:t>
      </w:r>
      <w:r>
        <w:rPr>
          <w:rFonts w:hint="default" w:ascii="Times New Roman" w:hAnsi="Times New Roman" w:cs="Times New Roman"/>
          <w:b w:val="0"/>
          <w:bCs w:val="0"/>
          <w:sz w:val="24"/>
          <w:szCs w:val="24"/>
          <w:lang w:eastAsia="zh-CN"/>
        </w:rPr>
        <w:t>月建成并投用，建设前无环评手续。2016年</w:t>
      </w:r>
      <w:r>
        <w:rPr>
          <w:rFonts w:hint="default" w:ascii="Times New Roman" w:hAnsi="Times New Roman" w:cs="Times New Roman"/>
          <w:b w:val="0"/>
          <w:bCs w:val="0"/>
          <w:sz w:val="24"/>
          <w:szCs w:val="24"/>
          <w:highlight w:val="none"/>
          <w:lang w:eastAsia="zh-CN"/>
        </w:rPr>
        <w:t>4月，新乡市政府根据《河南省环境保护委员会办公室关于做好环保违法违规建设</w:t>
      </w:r>
      <w:r>
        <w:rPr>
          <w:rFonts w:hint="default" w:ascii="Times New Roman" w:hAnsi="Times New Roman" w:cs="Times New Roman"/>
          <w:b w:val="0"/>
          <w:bCs w:val="0"/>
          <w:sz w:val="24"/>
          <w:szCs w:val="24"/>
          <w:lang w:eastAsia="zh-CN"/>
        </w:rPr>
        <w:t>项目清理整改工作的实施意见（豫环委办【2016】22号）》的相关要求成立了整改环保违法违规建设项目领导小组，在清理活动中将该项目列入《环保违法违规建设项目名单》，2016年9月，该项目编制完成了《新乡市俊业新材料有限公司年产冲孔镀镍钢带240吨、钢壳8000万只项目现状环境影响评估报告》，</w:t>
      </w:r>
      <w:r>
        <w:rPr>
          <w:rFonts w:hint="default" w:ascii="Times New Roman" w:hAnsi="Times New Roman" w:cs="Times New Roman"/>
          <w:b w:val="0"/>
          <w:bCs w:val="0"/>
          <w:sz w:val="24"/>
          <w:szCs w:val="24"/>
          <w:highlight w:val="none"/>
          <w:lang w:eastAsia="zh-CN"/>
        </w:rPr>
        <w:t>申报与新乡市环境保护局牧野分局进行环保行政管理备案，备案号为牧环清改备第0</w:t>
      </w:r>
      <w:r>
        <w:rPr>
          <w:rFonts w:hint="default" w:ascii="Times New Roman" w:hAnsi="Times New Roman" w:cs="Times New Roman"/>
          <w:b w:val="0"/>
          <w:bCs w:val="0"/>
          <w:sz w:val="24"/>
          <w:szCs w:val="24"/>
          <w:highlight w:val="none"/>
          <w:lang w:val="en-US" w:eastAsia="zh-CN"/>
        </w:rPr>
        <w:t>2</w:t>
      </w:r>
      <w:r>
        <w:rPr>
          <w:rFonts w:hint="default" w:ascii="Times New Roman" w:hAnsi="Times New Roman" w:cs="Times New Roman"/>
          <w:b w:val="0"/>
          <w:bCs w:val="0"/>
          <w:sz w:val="24"/>
          <w:szCs w:val="24"/>
          <w:highlight w:val="none"/>
          <w:lang w:eastAsia="zh-CN"/>
        </w:rPr>
        <w:t>号</w:t>
      </w:r>
      <w:r>
        <w:rPr>
          <w:rFonts w:hint="default" w:ascii="Times New Roman" w:hAnsi="Times New Roman" w:cs="Times New Roman"/>
          <w:b w:val="0"/>
          <w:bCs w:val="0"/>
          <w:sz w:val="24"/>
          <w:szCs w:val="24"/>
          <w:lang w:eastAsia="zh-CN"/>
        </w:rPr>
        <w:t>。</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企业基本情况如下表所示：</w:t>
      </w:r>
    </w:p>
    <w:p>
      <w:pPr>
        <w:spacing w:line="360" w:lineRule="auto"/>
        <w:ind w:firstLine="480" w:firstLineChars="200"/>
        <w:jc w:val="center"/>
        <w:rPr>
          <w:rFonts w:hint="default" w:ascii="Times New Roman" w:hAnsi="Times New Roman" w:cs="Times New Roman"/>
          <w:b w:val="0"/>
          <w:bCs w:val="0"/>
          <w:sz w:val="24"/>
          <w:szCs w:val="24"/>
          <w:vertAlign w:val="baseline"/>
          <w:lang w:val="en-US" w:eastAsia="zh-CN"/>
        </w:rPr>
      </w:pPr>
      <w:r>
        <w:rPr>
          <w:rFonts w:hint="default" w:ascii="Times New Roman" w:hAnsi="Times New Roman" w:cs="Times New Roman"/>
          <w:b w:val="0"/>
          <w:bCs w:val="0"/>
          <w:sz w:val="24"/>
          <w:szCs w:val="24"/>
          <w:lang w:val="en-US" w:eastAsia="zh-CN"/>
        </w:rPr>
        <w:t>新乡市俊业新材料有限公司企业基本情况表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1472"/>
        <w:gridCol w:w="1440"/>
        <w:gridCol w:w="1545"/>
        <w:gridCol w:w="1140"/>
        <w:gridCol w:w="1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公司名称</w:t>
            </w:r>
          </w:p>
        </w:tc>
        <w:tc>
          <w:tcPr>
            <w:tcW w:w="7149" w:type="dxa"/>
            <w:gridSpan w:val="5"/>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新乡市俊业新材料有限公司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建设地址</w:t>
            </w:r>
          </w:p>
        </w:tc>
        <w:tc>
          <w:tcPr>
            <w:tcW w:w="7149" w:type="dxa"/>
            <w:gridSpan w:val="5"/>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新乡市牧野区西马坊村北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联系人</w:t>
            </w:r>
          </w:p>
        </w:tc>
        <w:tc>
          <w:tcPr>
            <w:tcW w:w="2912" w:type="dxa"/>
            <w:gridSpan w:val="2"/>
            <w:vAlign w:val="center"/>
          </w:tcPr>
          <w:p>
            <w:pPr>
              <w:spacing w:line="240" w:lineRule="auto"/>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琚新春</w:t>
            </w:r>
          </w:p>
        </w:tc>
        <w:tc>
          <w:tcPr>
            <w:tcW w:w="1545" w:type="dxa"/>
            <w:vAlign w:val="center"/>
          </w:tcPr>
          <w:p>
            <w:pPr>
              <w:spacing w:line="240" w:lineRule="auto"/>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联系电话</w:t>
            </w:r>
          </w:p>
        </w:tc>
        <w:tc>
          <w:tcPr>
            <w:tcW w:w="2692" w:type="dxa"/>
            <w:gridSpan w:val="2"/>
            <w:vAlign w:val="center"/>
          </w:tcPr>
          <w:p>
            <w:pPr>
              <w:spacing w:line="240" w:lineRule="auto"/>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13603933787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统一社会信用代码</w:t>
            </w:r>
          </w:p>
        </w:tc>
        <w:tc>
          <w:tcPr>
            <w:tcW w:w="2912" w:type="dxa"/>
            <w:gridSpan w:val="2"/>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91410711744079786Y</w:t>
            </w:r>
          </w:p>
        </w:tc>
        <w:tc>
          <w:tcPr>
            <w:tcW w:w="1545"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行业类别及代码</w:t>
            </w:r>
          </w:p>
        </w:tc>
        <w:tc>
          <w:tcPr>
            <w:tcW w:w="2692" w:type="dxa"/>
            <w:gridSpan w:val="2"/>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C3660金属表面处理及热处理加工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排污许可证编号及取得时间</w:t>
            </w:r>
          </w:p>
        </w:tc>
        <w:tc>
          <w:tcPr>
            <w:tcW w:w="2912" w:type="dxa"/>
            <w:gridSpan w:val="2"/>
            <w:vAlign w:val="center"/>
          </w:tcPr>
          <w:p>
            <w:pPr>
              <w:spacing w:line="240" w:lineRule="auto"/>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91410711744079786Y001P</w:t>
            </w:r>
          </w:p>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2019年6月19日</w:t>
            </w:r>
          </w:p>
        </w:tc>
        <w:tc>
          <w:tcPr>
            <w:tcW w:w="1545"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投产时间</w:t>
            </w:r>
          </w:p>
        </w:tc>
        <w:tc>
          <w:tcPr>
            <w:tcW w:w="2692" w:type="dxa"/>
            <w:gridSpan w:val="2"/>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固定资产</w:t>
            </w:r>
          </w:p>
        </w:tc>
        <w:tc>
          <w:tcPr>
            <w:tcW w:w="1472" w:type="dxa"/>
            <w:vAlign w:val="center"/>
          </w:tcPr>
          <w:p>
            <w:pPr>
              <w:spacing w:line="240" w:lineRule="auto"/>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2800万元</w:t>
            </w:r>
          </w:p>
        </w:tc>
        <w:tc>
          <w:tcPr>
            <w:tcW w:w="1440" w:type="dxa"/>
            <w:vAlign w:val="center"/>
          </w:tcPr>
          <w:p>
            <w:pPr>
              <w:spacing w:line="240" w:lineRule="auto"/>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近三年平均产值</w:t>
            </w:r>
          </w:p>
        </w:tc>
        <w:tc>
          <w:tcPr>
            <w:tcW w:w="1545" w:type="dxa"/>
            <w:vAlign w:val="center"/>
          </w:tcPr>
          <w:p>
            <w:pPr>
              <w:spacing w:line="240" w:lineRule="auto"/>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1976.7万元/a</w:t>
            </w:r>
          </w:p>
        </w:tc>
        <w:tc>
          <w:tcPr>
            <w:tcW w:w="1140" w:type="dxa"/>
            <w:vAlign w:val="center"/>
          </w:tcPr>
          <w:p>
            <w:pPr>
              <w:spacing w:line="240" w:lineRule="auto"/>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近三年平均利税</w:t>
            </w:r>
          </w:p>
        </w:tc>
        <w:tc>
          <w:tcPr>
            <w:tcW w:w="1552" w:type="dxa"/>
            <w:vAlign w:val="center"/>
          </w:tcPr>
          <w:p>
            <w:pPr>
              <w:spacing w:line="240" w:lineRule="auto"/>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20.95万元/a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项目名称</w:t>
            </w:r>
          </w:p>
        </w:tc>
        <w:tc>
          <w:tcPr>
            <w:tcW w:w="1472" w:type="dxa"/>
            <w:vAlign w:val="center"/>
          </w:tcPr>
          <w:p>
            <w:pPr>
              <w:spacing w:line="240" w:lineRule="auto"/>
              <w:jc w:val="center"/>
              <w:rPr>
                <w:rFonts w:hint="default" w:ascii="Times New Roman" w:hAnsi="Times New Roman" w:cs="Times New Roman"/>
                <w:b w:val="0"/>
                <w:bCs w:val="0"/>
                <w:sz w:val="21"/>
                <w:szCs w:val="21"/>
                <w:highlight w:val="yellow"/>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年产冲孔镀镍钢带240吨、钢壳8000万只项目</w:t>
            </w:r>
          </w:p>
        </w:tc>
        <w:tc>
          <w:tcPr>
            <w:tcW w:w="1440" w:type="dxa"/>
            <w:vAlign w:val="center"/>
          </w:tcPr>
          <w:p>
            <w:pPr>
              <w:spacing w:line="240" w:lineRule="auto"/>
              <w:jc w:val="center"/>
              <w:rPr>
                <w:rFonts w:hint="default" w:ascii="Times New Roman" w:hAnsi="Times New Roman" w:cs="Times New Roman" w:eastAsiaTheme="minorEastAsia"/>
                <w:b w:val="0"/>
                <w:bCs w:val="0"/>
                <w:kern w:val="2"/>
                <w:sz w:val="21"/>
                <w:szCs w:val="21"/>
                <w:highlight w:val="none"/>
                <w:vertAlign w:val="baseline"/>
                <w:lang w:val="en-US" w:eastAsia="zh-CN" w:bidi="ar-SA"/>
              </w:rPr>
            </w:pPr>
            <w:r>
              <w:rPr>
                <w:rFonts w:hint="default" w:ascii="Times New Roman" w:hAnsi="Times New Roman" w:cs="Times New Roman"/>
                <w:b w:val="0"/>
                <w:bCs w:val="0"/>
                <w:sz w:val="21"/>
                <w:szCs w:val="21"/>
                <w:highlight w:val="none"/>
                <w:vertAlign w:val="baseline"/>
                <w:lang w:val="en-US" w:eastAsia="zh-CN"/>
              </w:rPr>
              <w:t>环评批复文号及时间</w:t>
            </w:r>
          </w:p>
        </w:tc>
        <w:tc>
          <w:tcPr>
            <w:tcW w:w="1545" w:type="dxa"/>
            <w:vAlign w:val="center"/>
          </w:tcPr>
          <w:p>
            <w:pPr>
              <w:spacing w:line="240" w:lineRule="auto"/>
              <w:jc w:val="center"/>
              <w:rPr>
                <w:rFonts w:hint="default" w:ascii="Times New Roman" w:hAnsi="Times New Roman" w:cs="Times New Roman" w:eastAsiaTheme="minorEastAsia"/>
                <w:b w:val="0"/>
                <w:bCs w:val="0"/>
                <w:kern w:val="2"/>
                <w:sz w:val="21"/>
                <w:szCs w:val="21"/>
                <w:highlight w:val="none"/>
                <w:vertAlign w:val="baseline"/>
                <w:lang w:val="en-US" w:eastAsia="zh-CN" w:bidi="ar-SA"/>
              </w:rPr>
            </w:pPr>
            <w:r>
              <w:rPr>
                <w:rFonts w:hint="default" w:ascii="Times New Roman" w:hAnsi="Times New Roman" w:cs="Times New Roman"/>
                <w:b w:val="0"/>
                <w:bCs w:val="0"/>
                <w:kern w:val="2"/>
                <w:sz w:val="21"/>
                <w:szCs w:val="21"/>
                <w:highlight w:val="none"/>
                <w:vertAlign w:val="baseline"/>
                <w:lang w:val="en-US" w:eastAsia="zh-CN" w:bidi="ar-SA"/>
              </w:rPr>
              <w:t>牧</w:t>
            </w:r>
            <w:r>
              <w:rPr>
                <w:rFonts w:hint="default" w:ascii="Times New Roman" w:hAnsi="Times New Roman" w:cs="Times New Roman" w:eastAsiaTheme="minorEastAsia"/>
                <w:b w:val="0"/>
                <w:bCs w:val="0"/>
                <w:kern w:val="2"/>
                <w:sz w:val="21"/>
                <w:szCs w:val="21"/>
                <w:highlight w:val="none"/>
                <w:vertAlign w:val="baseline"/>
                <w:lang w:val="en-US" w:eastAsia="zh-CN" w:bidi="ar-SA"/>
              </w:rPr>
              <w:t>环清改备第06号</w:t>
            </w:r>
            <w:r>
              <w:rPr>
                <w:rFonts w:hint="default" w:ascii="Times New Roman" w:hAnsi="Times New Roman" w:cs="Times New Roman"/>
                <w:b w:val="0"/>
                <w:bCs w:val="0"/>
                <w:kern w:val="2"/>
                <w:sz w:val="21"/>
                <w:szCs w:val="21"/>
                <w:highlight w:val="none"/>
                <w:vertAlign w:val="baseline"/>
                <w:lang w:val="en-US" w:eastAsia="zh-CN" w:bidi="ar-SA"/>
              </w:rPr>
              <w:t>；2016.11.30</w:t>
            </w:r>
          </w:p>
        </w:tc>
        <w:tc>
          <w:tcPr>
            <w:tcW w:w="1140" w:type="dxa"/>
            <w:vAlign w:val="center"/>
          </w:tcPr>
          <w:p>
            <w:pPr>
              <w:spacing w:line="240" w:lineRule="auto"/>
              <w:jc w:val="center"/>
              <w:rPr>
                <w:rFonts w:hint="default" w:ascii="Times New Roman" w:hAnsi="Times New Roman" w:cs="Times New Roman" w:eastAsiaTheme="minorEastAsia"/>
                <w:b w:val="0"/>
                <w:bCs w:val="0"/>
                <w:kern w:val="2"/>
                <w:sz w:val="21"/>
                <w:szCs w:val="21"/>
                <w:highlight w:val="none"/>
                <w:vertAlign w:val="baseline"/>
                <w:lang w:val="en-US" w:eastAsia="zh-CN" w:bidi="ar-SA"/>
              </w:rPr>
            </w:pPr>
            <w:r>
              <w:rPr>
                <w:rFonts w:hint="default" w:ascii="Times New Roman" w:hAnsi="Times New Roman" w:cs="Times New Roman"/>
                <w:b w:val="0"/>
                <w:bCs w:val="0"/>
                <w:sz w:val="21"/>
                <w:szCs w:val="21"/>
                <w:highlight w:val="none"/>
                <w:vertAlign w:val="baseline"/>
                <w:lang w:val="en-US" w:eastAsia="zh-CN"/>
              </w:rPr>
              <w:t>验收文号及时间</w:t>
            </w:r>
          </w:p>
        </w:tc>
        <w:tc>
          <w:tcPr>
            <w:tcW w:w="1552" w:type="dxa"/>
            <w:vAlign w:val="center"/>
          </w:tcPr>
          <w:p>
            <w:pPr>
              <w:spacing w:line="240" w:lineRule="auto"/>
              <w:jc w:val="center"/>
              <w:rPr>
                <w:rFonts w:hint="default" w:ascii="Times New Roman" w:hAnsi="Times New Roman" w:cs="Times New Roman" w:eastAsiaTheme="minorEastAsia"/>
                <w:b w:val="0"/>
                <w:bCs w:val="0"/>
                <w:kern w:val="2"/>
                <w:sz w:val="21"/>
                <w:szCs w:val="21"/>
                <w:highlight w:val="none"/>
                <w:vertAlign w:val="baseline"/>
                <w:lang w:val="en-US" w:eastAsia="zh-CN" w:bidi="ar-SA"/>
              </w:rPr>
            </w:pPr>
            <w:r>
              <w:rPr>
                <w:rFonts w:hint="default" w:ascii="Times New Roman" w:hAnsi="Times New Roman" w:cs="Times New Roman"/>
                <w:b w:val="0"/>
                <w:bCs w:val="0"/>
                <w:kern w:val="2"/>
                <w:sz w:val="21"/>
                <w:szCs w:val="21"/>
                <w:highlight w:val="none"/>
                <w:vertAlign w:val="baseline"/>
                <w:lang w:val="en-US" w:eastAsia="zh-CN" w:bidi="ar-SA"/>
              </w:rPr>
              <w:t>牧</w:t>
            </w:r>
            <w:r>
              <w:rPr>
                <w:rFonts w:hint="default" w:ascii="Times New Roman" w:hAnsi="Times New Roman" w:cs="Times New Roman" w:eastAsiaTheme="minorEastAsia"/>
                <w:b w:val="0"/>
                <w:bCs w:val="0"/>
                <w:kern w:val="2"/>
                <w:sz w:val="21"/>
                <w:szCs w:val="21"/>
                <w:highlight w:val="none"/>
                <w:vertAlign w:val="baseline"/>
                <w:lang w:val="en-US" w:eastAsia="zh-CN" w:bidi="ar-SA"/>
              </w:rPr>
              <w:t>环清改备第06号</w:t>
            </w:r>
            <w:r>
              <w:rPr>
                <w:rFonts w:hint="default" w:ascii="Times New Roman" w:hAnsi="Times New Roman" w:cs="Times New Roman"/>
                <w:b w:val="0"/>
                <w:bCs w:val="0"/>
                <w:kern w:val="2"/>
                <w:sz w:val="21"/>
                <w:szCs w:val="21"/>
                <w:highlight w:val="none"/>
                <w:vertAlign w:val="baseline"/>
                <w:lang w:val="en-US" w:eastAsia="zh-CN" w:bidi="ar-SA"/>
              </w:rPr>
              <w:t>；2016.11.30</w:t>
            </w:r>
          </w:p>
        </w:tc>
      </w:tr>
    </w:tbl>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对于此次清洁生产审核工作，企业领导高度重视，在了解到清洁生产审核的工作内容以及目标后，积极与行业专家、咨询公司沟通，希望能借助本轮清洁生产审核工作的开展，使清洁生产的思想融入到企业的日常管理中，提高企业的各方面管理水平，最终使企业达到节能、降耗、减污、增效的目的，这种理念对于企业来说也是至关重要的。通过全公司齐心协力，组织落实，初步完成了本轮的清洁生产审核工作。本轮清洁生产审核得到了</w:t>
      </w:r>
      <w:r>
        <w:rPr>
          <w:rFonts w:hint="default" w:ascii="Times New Roman" w:hAnsi="Times New Roman" w:eastAsia="宋体" w:cs="Times New Roman"/>
          <w:color w:val="auto"/>
          <w:kern w:val="0"/>
          <w:sz w:val="24"/>
          <w:szCs w:val="24"/>
          <w:highlight w:val="none"/>
          <w:lang w:val="en-US" w:eastAsia="zh-CN" w:bidi="ar"/>
        </w:rPr>
        <w:t>新乡市生态环境局</w:t>
      </w:r>
      <w:r>
        <w:rPr>
          <w:rFonts w:hint="default" w:ascii="Times New Roman" w:hAnsi="Times New Roman" w:eastAsia="宋体" w:cs="Times New Roman"/>
          <w:color w:val="auto"/>
          <w:kern w:val="0"/>
          <w:sz w:val="24"/>
          <w:szCs w:val="24"/>
          <w:lang w:val="en-US" w:eastAsia="zh-CN" w:bidi="ar"/>
        </w:rPr>
        <w:t>的大力支持，企业与咨询机构密切配合、共同努力，严格按照国家清洁生产中心对开展清洁生产审核过程要求的七个步骤，从企业布局、生产规模与工艺装备、资源回收及能耗、环境保护、产品质量等方面逐项开展审核工作。结合公司的实际情况，采用不同形式在全公司范围内进行了广泛宣传清洁生产理念及清洁生产审核方法，对企业目前资源能源利用情况、污染物产生情况做了详细的调查，充分比较分析物耗能耗、产排污状况，从生产过程所涉及的原辅材料和能源，生产工艺和技术水平，设备运行情况，管理水平，员工素质以及产品质量等八个方面进行查找原因；找出企业内部清洁生产的潜力部位，提出一系列可行的旨在节能、降耗、减污、增效的清洁生产方案。历经几个月的努力工作，现已基本完成本轮各项审核工作并依据法律法规和有关标准，将审核工作总结成文，编制出《新乡市俊业新材料有限公司</w:t>
      </w:r>
      <w:r>
        <w:rPr>
          <w:rFonts w:hint="eastAsia" w:ascii="Times New Roman" w:hAnsi="Times New Roman" w:eastAsia="宋体" w:cs="Times New Roman"/>
          <w:color w:val="auto"/>
          <w:kern w:val="0"/>
          <w:sz w:val="24"/>
          <w:szCs w:val="24"/>
          <w:lang w:val="en-US" w:eastAsia="zh-CN" w:bidi="ar"/>
        </w:rPr>
        <w:t>（第一轮）</w:t>
      </w:r>
      <w:r>
        <w:rPr>
          <w:rFonts w:hint="default" w:ascii="Times New Roman" w:hAnsi="Times New Roman" w:eastAsia="宋体" w:cs="Times New Roman"/>
          <w:color w:val="auto"/>
          <w:kern w:val="0"/>
          <w:sz w:val="24"/>
          <w:szCs w:val="24"/>
          <w:lang w:val="en-US" w:eastAsia="zh-CN" w:bidi="ar"/>
        </w:rPr>
        <w:t>清洁生产审核</w:t>
      </w:r>
      <w:r>
        <w:rPr>
          <w:rFonts w:hint="eastAsia" w:ascii="Times New Roman" w:hAnsi="Times New Roman" w:eastAsia="宋体" w:cs="Times New Roman"/>
          <w:color w:val="auto"/>
          <w:kern w:val="0"/>
          <w:sz w:val="24"/>
          <w:szCs w:val="24"/>
          <w:lang w:val="en-US" w:eastAsia="zh-CN" w:bidi="ar"/>
        </w:rPr>
        <w:t>验收</w:t>
      </w:r>
      <w:r>
        <w:rPr>
          <w:rFonts w:hint="default" w:ascii="Times New Roman" w:hAnsi="Times New Roman" w:eastAsia="宋体" w:cs="Times New Roman"/>
          <w:color w:val="auto"/>
          <w:kern w:val="0"/>
          <w:sz w:val="24"/>
          <w:szCs w:val="24"/>
          <w:lang w:val="en-US" w:eastAsia="zh-CN" w:bidi="ar"/>
        </w:rPr>
        <w:t>报告》，敬请批评指正。</w:t>
      </w:r>
    </w:p>
    <w:p>
      <w:pPr>
        <w:keepNext w:val="0"/>
        <w:keepLines w:val="0"/>
        <w:widowControl/>
        <w:numPr>
          <w:ilvl w:val="0"/>
          <w:numId w:val="0"/>
        </w:numPr>
        <w:suppressLineNumbers w:val="0"/>
        <w:spacing w:line="360" w:lineRule="auto"/>
        <w:jc w:val="both"/>
        <w:rPr>
          <w:rFonts w:hint="default" w:ascii="Times New Roman" w:hAnsi="Times New Roman" w:eastAsia="宋体" w:cs="Times New Roman"/>
          <w:color w:val="FF0000"/>
          <w:kern w:val="0"/>
          <w:sz w:val="24"/>
          <w:szCs w:val="24"/>
          <w:lang w:val="en-US" w:eastAsia="zh-CN" w:bidi="ar"/>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3"/>
        <w:bidi w:val="0"/>
        <w:jc w:val="center"/>
        <w:rPr>
          <w:rFonts w:hint="default" w:ascii="Times New Roman" w:hAnsi="Times New Roman" w:cs="Times New Roman"/>
          <w:lang w:eastAsia="zh-CN"/>
        </w:rPr>
      </w:pPr>
      <w:bookmarkStart w:id="47" w:name="_Toc30687"/>
      <w:bookmarkStart w:id="48" w:name="_Toc14955"/>
      <w:bookmarkStart w:id="49" w:name="_Toc23254"/>
      <w:bookmarkStart w:id="50" w:name="_Toc1626"/>
      <w:r>
        <w:rPr>
          <w:rFonts w:hint="default" w:ascii="Times New Roman" w:hAnsi="Times New Roman" w:cs="Times New Roman"/>
          <w:lang w:eastAsia="zh-CN"/>
        </w:rPr>
        <w:t>第一章 清洁生产审核概述</w:t>
      </w:r>
      <w:bookmarkEnd w:id="47"/>
      <w:bookmarkEnd w:id="48"/>
      <w:bookmarkEnd w:id="49"/>
      <w:bookmarkEnd w:id="50"/>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清洁生产审核是一种对污染来源、废物产生原因及其整体解决方案的系统化的分析和实施过程。是组织实施清洁生产的重要前提，也是节能减排的关键和核心。其目的是通过对污染预防分析和评估，寻找尽可能高效率利用资源、减少或消除废物的产生和排放的方法。</w:t>
      </w:r>
    </w:p>
    <w:p>
      <w:pPr>
        <w:pStyle w:val="5"/>
        <w:bidi w:val="0"/>
        <w:rPr>
          <w:rFonts w:hint="default" w:ascii="Times New Roman" w:hAnsi="Times New Roman" w:cs="Times New Roman"/>
          <w:lang w:val="en-US" w:eastAsia="zh-CN"/>
        </w:rPr>
      </w:pPr>
      <w:bookmarkStart w:id="51" w:name="_Toc5782"/>
      <w:bookmarkStart w:id="52" w:name="_Toc240"/>
      <w:bookmarkStart w:id="53" w:name="_Toc30997"/>
      <w:r>
        <w:rPr>
          <w:rFonts w:hint="default" w:ascii="Times New Roman" w:hAnsi="Times New Roman" w:cs="Times New Roman"/>
          <w:lang w:val="en-US" w:eastAsia="zh-CN"/>
        </w:rPr>
        <w:t>1.1 审核目的</w:t>
      </w:r>
      <w:bookmarkEnd w:id="51"/>
      <w:bookmarkEnd w:id="52"/>
      <w:bookmarkEnd w:id="53"/>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通过在企业开展清洁生产审核达到如下目的：</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（1）了解企业生产工艺、资源、能源和废物流资料的情况；</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（2）确定企业废物的来源、数量和类型，分别制定相应的削减目标和合理有效的削减对策；</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（3）通过宣传教育加强对“削减废弃物就是获得效益”这一理念的认识；</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（4）判定影响企业效率的瓶颈部位和管理不善的环节；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（5）转变传统的末端治理模式，实行环境污染从源头控制、全过程预防的清洁生产模式，使企业不断实现节能减排的阶段性目标；</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（6）改变企业对传统的环境保护工作只投入不产出的观念，为企业指出一条实现社会、环境和经济效益“共赢”的、可持续发展的清洁生产道路；</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（7）提高企业的经济效益、产品和服务质量，增强企业技术研发能力，提高市场竞争力，推动企业经营不断迈上新台阶。</w:t>
      </w:r>
    </w:p>
    <w:p>
      <w:pPr>
        <w:pStyle w:val="5"/>
        <w:bidi w:val="0"/>
        <w:rPr>
          <w:rFonts w:hint="default" w:ascii="Times New Roman" w:hAnsi="Times New Roman" w:cs="Times New Roman"/>
          <w:lang w:val="en-US" w:eastAsia="zh-CN"/>
        </w:rPr>
      </w:pPr>
      <w:bookmarkStart w:id="54" w:name="_Toc14463"/>
      <w:bookmarkStart w:id="55" w:name="_Toc24301"/>
      <w:bookmarkStart w:id="56" w:name="_Toc20166"/>
      <w:r>
        <w:rPr>
          <w:rFonts w:hint="default" w:ascii="Times New Roman" w:hAnsi="Times New Roman" w:cs="Times New Roman"/>
          <w:lang w:val="en-US" w:eastAsia="zh-CN"/>
        </w:rPr>
        <w:t>1.2 审核原则</w:t>
      </w:r>
      <w:bookmarkEnd w:id="54"/>
      <w:bookmarkEnd w:id="55"/>
      <w:bookmarkEnd w:id="56"/>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本轮清洁生产审核所要坚持的原则主要有以下四个方面：</w:t>
      </w:r>
    </w:p>
    <w:p>
      <w:pPr>
        <w:numPr>
          <w:ilvl w:val="0"/>
          <w:numId w:val="1"/>
        </w:num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审核以企业为主体，企业自主审核与外部协助相结合；</w:t>
      </w:r>
    </w:p>
    <w:p>
      <w:pPr>
        <w:numPr>
          <w:ilvl w:val="0"/>
          <w:numId w:val="1"/>
        </w:num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坚持对生产过程中高物耗、高能耗、高污染的重点环节、工序进行评估分析，有针对性审核的原则；</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eastAsia="zh-CN"/>
        </w:rPr>
        <w:t>）坚持从原辅材料和能源、技术工艺、设备、过程控制、产品、管理、员工、废物等八个方面进行审核和分析的原则；</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4</w:t>
      </w:r>
      <w:r>
        <w:rPr>
          <w:rFonts w:hint="default" w:ascii="Times New Roman" w:hAnsi="Times New Roman" w:cs="Times New Roman"/>
          <w:b w:val="0"/>
          <w:bCs w:val="0"/>
          <w:color w:val="auto"/>
          <w:sz w:val="24"/>
          <w:szCs w:val="24"/>
          <w:lang w:eastAsia="zh-CN"/>
        </w:rPr>
        <w:t>）坚持观念创新、管理创新、技术创新相结合的原则；</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5</w:t>
      </w:r>
      <w:r>
        <w:rPr>
          <w:rFonts w:hint="default" w:ascii="Times New Roman" w:hAnsi="Times New Roman" w:cs="Times New Roman"/>
          <w:b w:val="0"/>
          <w:bCs w:val="0"/>
          <w:color w:val="auto"/>
          <w:sz w:val="24"/>
          <w:szCs w:val="24"/>
          <w:lang w:eastAsia="zh-CN"/>
        </w:rPr>
        <w:t>）坚持边审核、边实施、边见效的原则。</w:t>
      </w:r>
    </w:p>
    <w:p>
      <w:pPr>
        <w:pStyle w:val="5"/>
        <w:bidi w:val="0"/>
        <w:rPr>
          <w:rFonts w:hint="default" w:ascii="Times New Roman" w:hAnsi="Times New Roman" w:cs="Times New Roman"/>
          <w:lang w:val="en-US" w:eastAsia="zh-CN"/>
        </w:rPr>
      </w:pPr>
      <w:bookmarkStart w:id="57" w:name="_Toc30628"/>
      <w:bookmarkStart w:id="58" w:name="_Toc9487"/>
      <w:bookmarkStart w:id="59" w:name="_Toc17621"/>
      <w:r>
        <w:rPr>
          <w:rFonts w:hint="default" w:ascii="Times New Roman" w:hAnsi="Times New Roman" w:cs="Times New Roman"/>
          <w:lang w:val="en-US" w:eastAsia="zh-CN"/>
        </w:rPr>
        <w:t>1.3 审核思路</w:t>
      </w:r>
      <w:bookmarkEnd w:id="57"/>
      <w:bookmarkEnd w:id="58"/>
      <w:bookmarkEnd w:id="59"/>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（1）废物在哪里产生</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通过现场调查、物质流分析、能量流分析等找出问题的产生部位并加以量化，这里的“问题”统指企业能耗高、物耗高、污染重、使用或者产生排放有毒有害物质的问题。</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（2）废物产生的原因</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需准确对生产过程中的各个环节，从原辅材料、设备、工艺、过程控制、管理、员工素质、产品、废弃物八个方面进行分析和评估。生产过程框图见下图。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（3）解决废物问题的途径</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针对性设计相应的清洁生产方案，包括无/低费方案和中/高费清洁生产方案。对所有清洁生产方案进行技术、环境、效益评估，选择可实施的方案进行实施，并对方案实施后的环境和经济效益进行统计汇总。</w:t>
      </w:r>
    </w:p>
    <w:p>
      <w:pPr>
        <w:spacing w:line="360" w:lineRule="auto"/>
        <w:jc w:val="center"/>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FF0000"/>
          <w:sz w:val="24"/>
          <w:szCs w:val="24"/>
          <w:lang w:eastAsia="zh-CN"/>
        </w:rPr>
        <w:object>
          <v:shape id="_x0000_i1025" o:spt="75" type="#_x0000_t75" style="height:281.4pt;width:381pt;" o:ole="t" filled="f" o:preferrelative="t" stroked="f" coordsize="21600,21600">
            <v:path/>
            <v:fill on="f" focussize="0,0"/>
            <v:stroke on="f"/>
            <v:imagedata r:id="rId14" o:title=""/>
            <o:lock v:ext="edit" aspectratio="t"/>
            <w10:wrap type="none"/>
            <w10:anchorlock/>
          </v:shape>
          <o:OLEObject Type="Embed" ProgID="Visio.Drawing.11" ShapeID="_x0000_i1025" DrawAspect="Content" ObjectID="_1468075725" r:id="rId13">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图1-1 清洁生产审核思路</w:t>
      </w:r>
    </w:p>
    <w:p>
      <w:pPr>
        <w:pStyle w:val="5"/>
        <w:bidi w:val="0"/>
        <w:jc w:val="center"/>
        <w:rPr>
          <w:rFonts w:hint="default" w:ascii="Times New Roman" w:hAnsi="Times New Roman" w:cs="Times New Roman"/>
          <w:lang w:val="en-US" w:eastAsia="zh-CN"/>
        </w:rPr>
      </w:pPr>
      <w:bookmarkStart w:id="60" w:name="_Toc1694"/>
      <w:bookmarkStart w:id="61" w:name="_Toc31704"/>
      <w:bookmarkStart w:id="62" w:name="_Toc18965"/>
      <w:bookmarkStart w:id="63" w:name="_Toc7525"/>
      <w:bookmarkStart w:id="64" w:name="_Toc5639"/>
      <w:r>
        <w:rPr>
          <w:rFonts w:hint="default" w:ascii="Times New Roman" w:hAnsi="Times New Roman" w:cs="Times New Roman"/>
          <w:lang w:val="en-US" w:eastAsia="zh-CN"/>
        </w:rPr>
        <w:object>
          <v:shape id="_x0000_i1026" o:spt="75" type="#_x0000_t75" style="height:158.3pt;width:374.05pt;" o:ole="t" filled="f" o:preferrelative="t" stroked="f" coordsize="21600,21600">
            <v:path/>
            <v:fill on="f" focussize="0,0"/>
            <v:stroke on="f"/>
            <v:imagedata r:id="rId16" o:title=""/>
            <o:lock v:ext="edit" aspectratio="t"/>
            <w10:wrap type="none"/>
            <w10:anchorlock/>
          </v:shape>
          <o:OLEObject Type="Embed" ProgID="Visio.Drawing.11" ShapeID="_x0000_i1026" DrawAspect="Content" ObjectID="_1468075726" r:id="rId15">
            <o:LockedField>false</o:LockedField>
          </o:OLEObject>
        </w:object>
      </w:r>
      <w:bookmarkEnd w:id="60"/>
      <w:bookmarkEnd w:id="61"/>
      <w:bookmarkEnd w:id="62"/>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图1-2  清洁生产过程框架图</w:t>
      </w:r>
    </w:p>
    <w:p>
      <w:pPr>
        <w:pStyle w:val="5"/>
        <w:bidi w:val="0"/>
        <w:rPr>
          <w:rFonts w:hint="default" w:ascii="Times New Roman" w:hAnsi="Times New Roman" w:cs="Times New Roman"/>
          <w:lang w:val="en-US" w:eastAsia="zh-CN"/>
        </w:rPr>
      </w:pPr>
      <w:bookmarkStart w:id="65" w:name="_Toc28051"/>
      <w:r>
        <w:rPr>
          <w:rFonts w:hint="default" w:ascii="Times New Roman" w:hAnsi="Times New Roman" w:cs="Times New Roman"/>
          <w:lang w:val="en-US" w:eastAsia="zh-CN"/>
        </w:rPr>
        <w:t>1.4 审核范围</w:t>
      </w:r>
      <w:bookmarkEnd w:id="63"/>
      <w:bookmarkEnd w:id="64"/>
      <w:bookmarkEnd w:id="65"/>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本轮清洁生产审核范围为：新乡市俊业新材料有限公司全厂的各项生产活动。 </w:t>
      </w:r>
    </w:p>
    <w:p>
      <w:pPr>
        <w:pStyle w:val="5"/>
        <w:bidi w:val="0"/>
        <w:rPr>
          <w:rFonts w:hint="default" w:ascii="Times New Roman" w:hAnsi="Times New Roman" w:cs="Times New Roman"/>
          <w:lang w:val="en-US" w:eastAsia="zh-CN"/>
        </w:rPr>
      </w:pPr>
      <w:bookmarkStart w:id="66" w:name="_Toc12418"/>
      <w:bookmarkStart w:id="67" w:name="_Toc6814"/>
      <w:bookmarkStart w:id="68" w:name="_Toc4951"/>
      <w:r>
        <w:rPr>
          <w:rFonts w:hint="default" w:ascii="Times New Roman" w:hAnsi="Times New Roman" w:cs="Times New Roman"/>
          <w:lang w:val="en-US" w:eastAsia="zh-CN"/>
        </w:rPr>
        <w:t>1.5 审核内容</w:t>
      </w:r>
      <w:bookmarkEnd w:id="66"/>
      <w:bookmarkEnd w:id="67"/>
      <w:bookmarkEnd w:id="68"/>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本轮清洁生产审核工作主要包含以下内容：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1）生产所需原辅材料的性质、成分、质量是否有毒、有害，是否难以转化为产品，或者在转化过程中产生的废物是否难以回收利用、是否对环境有不可逆转的危害；能否选用无毒、无害、无污染或少污染的原辅材料。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2）产品的生产过程、工艺设备是否陈旧落后，生产工艺技术水平、过程控制自动化程度、生产效率等与国内外先进水平的差距，找出主要原因，进行工艺技术改造，更换先进设备，优化操作工艺，提高生产效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3）企业的组织与管理水平，从生产工艺与装备要求、资源能源利用指标、产品指标、污染物产生指标、废物回收利用指标、环境管理要求等方面进行调查和分析；找出因管理不善而造成的物耗高、能耗高、排污多的原因与责任，从而拟定加强管理的措施与制度，提出解决问题的办法。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4）根据工艺输入（包括原辅材料、能源等）和工艺输出（包括产品、副产物、中间产品、工艺废物等），建立物料平衡并进行分析判断，找出管理不善、制度不适而造成的物耗高、能耗高、排污多、效率低的环节，分析其原因和责任，从而拟定加强管理的措施与制度，提出解决办法即清洁生产方案。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（5）对需投资改造的清洁生产方案进行技术、环境、经济的可行性分析，选择技术可行，能达到节能、降耗、减污、增效的目标，制定可行的方案，并予以分步实施。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（6）所有审核中的清洁生产方案是否得到了实施，是否产生了经济、环境、经济效益。</w:t>
      </w:r>
    </w:p>
    <w:p>
      <w:pPr>
        <w:pStyle w:val="5"/>
        <w:bidi w:val="0"/>
        <w:rPr>
          <w:rFonts w:hint="default" w:ascii="Times New Roman" w:hAnsi="Times New Roman" w:cs="Times New Roman"/>
          <w:lang w:val="en-US" w:eastAsia="zh-CN"/>
        </w:rPr>
      </w:pPr>
      <w:bookmarkStart w:id="69" w:name="_Toc24961"/>
      <w:bookmarkStart w:id="70" w:name="_Toc31165"/>
      <w:bookmarkStart w:id="71" w:name="_Toc22918"/>
      <w:r>
        <w:rPr>
          <w:rFonts w:hint="default" w:ascii="Times New Roman" w:hAnsi="Times New Roman" w:cs="Times New Roman"/>
          <w:lang w:val="en-US" w:eastAsia="zh-CN"/>
        </w:rPr>
        <w:t>1.6 审核指标</w:t>
      </w:r>
      <w:bookmarkEnd w:id="69"/>
      <w:bookmarkEnd w:id="70"/>
      <w:bookmarkEnd w:id="71"/>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（1）生产工艺及装备指标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应从有利于引导采用先进适用技术装备、促进技术改造和升级等方面提出生产工 艺及装备指标和要求。具体指标可包括装备要求、生产规模、工艺方案、主要设备参数、自动化控制水平等，因行业性质不同根据具体情况可作适当调整。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（2）资源能源消耗指标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减少资源能耗消耗、提高资源能源利用效率方面提出资源能源消耗指标及要求。具体指标可包括单位产品综合能耗、单位产品取水量、单位产品原/辅料消耗、一次能源消耗比例等指标，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（3）资源综合利用指标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废物或副产品再利用、资源化利用和高值化利用等方面提出资源综合利用指标及要求。具体指标可包括余热余压利用率、工业用水重复利用率、工业固体废物综合利用率等，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（4）污染物产生指标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从源头上减少污染物产生、有毒有害物质替代等方面提出污染物产生指标及要求。具体指标包括单位产品废水产生量、单位产品化学需氧量产生量、单位产品二氧化硫产生量、单位产品氨氮产生量、单位产品氮氧化物产生量和单位产品粉尘产生量，以及行业特征污染物等，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（5）产品特征指标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应从有利于包装材料再利用或资源化利用、产品易拆解、易回收、易降解、环境友好等方面提出产品指标及要求。具体指标可包括有毒有害物质限量、易于回收和拆 解的产品设计、产品合格率等，因行业性质不同根据具体情况可作适当调整。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（6）清洁生产管理指标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应从有利于提高资源能源利用效率，减少污染物产生与排放方面提出管理指标及要求。具体指标可包括清洁生产审核制度执行、清洁生产部门设置和人员配备、清洁生产管理制度、强制性清洁生产审核政策执行情况、环境管理体系认证、建设项目环保“三同时”执行情况、合同能源管理、能源管理体系实施等，因行业性质不同根据具体情况可作适当调整。</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（7）限定性指标选取</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限定性指标为对节能减排有重大影响的指标，或者法律法规明确规定严格执行的指标。原则上，限定性指标主要包括但不限于单位产品能耗限额、单位产品取水定额、有毒有害物质限量，行业特征污染物，行业准入性指标，以及二氧化硫、氮氧化物、化学需氧量、氨氮、噪声等污染物的产生量，因行业性质不同根据具体情况可作适当调整。</w:t>
      </w:r>
    </w:p>
    <w:p>
      <w:pPr>
        <w:pStyle w:val="5"/>
        <w:bidi w:val="0"/>
        <w:rPr>
          <w:rFonts w:hint="default" w:ascii="Times New Roman" w:hAnsi="Times New Roman" w:cs="Times New Roman"/>
          <w:lang w:val="en-US" w:eastAsia="zh-CN"/>
        </w:rPr>
      </w:pPr>
      <w:bookmarkStart w:id="72" w:name="_Toc10060"/>
      <w:bookmarkStart w:id="73" w:name="_Toc26616"/>
      <w:bookmarkStart w:id="74" w:name="_Toc5971"/>
      <w:r>
        <w:rPr>
          <w:rFonts w:hint="default" w:ascii="Times New Roman" w:hAnsi="Times New Roman" w:cs="Times New Roman"/>
          <w:lang w:val="en-US" w:eastAsia="zh-CN"/>
        </w:rPr>
        <w:t>1.7 审核程序</w:t>
      </w:r>
      <w:bookmarkEnd w:id="72"/>
      <w:bookmarkEnd w:id="73"/>
      <w:bookmarkEnd w:id="74"/>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按照国家《清洁生产促进法》、《清洁生产审核暂行办法》和《河南省清洁生产审核实施细则》的相关规定，严格按照清洁生产审核程序开展工作。本轮清洁生产审核共分为七个阶段，分别是：审核准备、预审核、审核、方案产生和筛选、可行性分析、方案实施、持续清洁生产。工作依据的程序图如下：</w:t>
      </w:r>
    </w:p>
    <w:p>
      <w:pPr>
        <w:spacing w:line="360" w:lineRule="auto"/>
        <w:ind w:firstLine="480" w:firstLineChars="200"/>
        <w:jc w:val="center"/>
        <w:rPr>
          <w:rFonts w:hint="default" w:ascii="Times New Roman" w:hAnsi="Times New Roman" w:cs="Times New Roman"/>
          <w:b w:val="0"/>
          <w:bCs w:val="0"/>
          <w:color w:val="FF0000"/>
          <w:sz w:val="24"/>
          <w:szCs w:val="24"/>
          <w:lang w:val="en-US" w:eastAsia="zh-CN"/>
        </w:rPr>
      </w:pPr>
      <w:r>
        <w:rPr>
          <w:rFonts w:hint="default" w:ascii="Times New Roman" w:hAnsi="Times New Roman" w:cs="Times New Roman"/>
          <w:b w:val="0"/>
          <w:bCs w:val="0"/>
          <w:color w:val="FF0000"/>
          <w:sz w:val="24"/>
          <w:szCs w:val="24"/>
          <w:lang w:eastAsia="zh-CN"/>
        </w:rPr>
        <w:object>
          <v:shape id="_x0000_i1027" o:spt="75" type="#_x0000_t75" style="height:378.75pt;width:435pt;" o:ole="t" filled="f" o:preferrelative="t" stroked="f" coordsize="21600,21600">
            <v:path/>
            <v:fill on="f" focussize="0,0"/>
            <v:stroke on="f"/>
            <v:imagedata r:id="rId18" o:title=""/>
            <o:lock v:ext="edit" aspectratio="t"/>
            <w10:wrap type="none"/>
            <w10:anchorlock/>
          </v:shape>
          <o:OLEObject Type="Embed" ProgID="Visio.Drawing.11" ShapeID="_x0000_i1027" DrawAspect="Content" ObjectID="_1468075727" r:id="rId17">
            <o:LockedField>false</o:LockedField>
          </o:OLEObject>
        </w:object>
      </w:r>
      <w:r>
        <w:rPr>
          <w:rFonts w:hint="default" w:ascii="Times New Roman" w:hAnsi="Times New Roman" w:cs="Times New Roman"/>
          <w:b w:val="0"/>
          <w:bCs w:val="0"/>
          <w:color w:val="auto"/>
          <w:sz w:val="24"/>
          <w:szCs w:val="24"/>
          <w:lang w:val="en-US" w:eastAsia="zh-CN"/>
        </w:rPr>
        <w:t>图1-3 清洁生产审核工作程序</w:t>
      </w:r>
    </w:p>
    <w:p>
      <w:pPr>
        <w:pStyle w:val="5"/>
        <w:bidi w:val="0"/>
        <w:rPr>
          <w:rFonts w:hint="default" w:ascii="Times New Roman" w:hAnsi="Times New Roman" w:cs="Times New Roman"/>
          <w:lang w:val="en-US" w:eastAsia="zh-CN"/>
        </w:rPr>
      </w:pPr>
      <w:bookmarkStart w:id="75" w:name="_Toc4106"/>
      <w:bookmarkStart w:id="76" w:name="_Toc32031"/>
      <w:bookmarkStart w:id="77" w:name="_Toc17238"/>
      <w:r>
        <w:rPr>
          <w:rFonts w:hint="default" w:ascii="Times New Roman" w:hAnsi="Times New Roman" w:cs="Times New Roman"/>
          <w:lang w:val="en-US" w:eastAsia="zh-CN"/>
        </w:rPr>
        <w:t>1.8 审核依据</w:t>
      </w:r>
      <w:bookmarkEnd w:id="75"/>
      <w:bookmarkEnd w:id="76"/>
      <w:bookmarkEnd w:id="77"/>
      <w:r>
        <w:rPr>
          <w:rFonts w:hint="default" w:ascii="Times New Roman" w:hAnsi="Times New Roman" w:cs="Times New Roman"/>
          <w:lang w:val="en-US" w:eastAsia="zh-CN"/>
        </w:rPr>
        <w:t xml:space="preserve"> </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1.8.1 法律法规及文件 </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（1）《中华人民共和国环境保护法》（2015年01月01日起实施）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（2）《中华人民共和国清洁生产促进法》修订版（2012年07月01日起实施）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（3）《清洁生产审核办法》（2016年07月01日起实施）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（4）《</w:t>
      </w:r>
      <w:r>
        <w:rPr>
          <w:rFonts w:hint="default" w:ascii="Times New Roman" w:hAnsi="Times New Roman" w:cs="Times New Roman"/>
          <w:b w:val="0"/>
          <w:bCs w:val="0"/>
          <w:color w:val="auto"/>
          <w:sz w:val="24"/>
          <w:szCs w:val="24"/>
          <w:highlight w:val="none"/>
          <w:u w:val="none"/>
          <w:lang w:val="en-US" w:eastAsia="zh-CN"/>
        </w:rPr>
        <w:t>中华人民共和国循环经济促进法》（2018年10月26日修订）</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（5）《中华人民共和国节约能源法》（2016年09月01日起实施）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（6）《中华人民共和国水污染防治法》（2018年01月01日起实施）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（7）《中华人民共和国大气污染防治法》（2016年01月01日起实施）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（8）《中华人民共和国固体废物污染环境防治法》（2020年09月01日起实施）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highlight w:val="yellow"/>
          <w:u w:val="none"/>
          <w:lang w:val="en-US" w:eastAsia="zh-CN"/>
        </w:rPr>
      </w:pPr>
      <w:r>
        <w:rPr>
          <w:rFonts w:hint="default" w:ascii="Times New Roman" w:hAnsi="Times New Roman" w:cs="Times New Roman"/>
          <w:b w:val="0"/>
          <w:bCs w:val="0"/>
          <w:color w:val="auto"/>
          <w:sz w:val="24"/>
          <w:szCs w:val="24"/>
          <w:u w:val="none"/>
          <w:lang w:val="en-US" w:eastAsia="zh-CN"/>
        </w:rPr>
        <w:t>（9）《中华人民共和国噪声污染防治法</w:t>
      </w:r>
      <w:r>
        <w:rPr>
          <w:rFonts w:hint="default" w:ascii="Times New Roman" w:hAnsi="Times New Roman" w:cs="Times New Roman"/>
          <w:b w:val="0"/>
          <w:bCs w:val="0"/>
          <w:color w:val="auto"/>
          <w:sz w:val="24"/>
          <w:szCs w:val="24"/>
          <w:highlight w:val="none"/>
          <w:u w:val="none"/>
          <w:lang w:val="en-US" w:eastAsia="zh-CN"/>
        </w:rPr>
        <w:t>》（2022年6月5日起实施）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（10）《关于贯彻落实&lt;清洁生产促进法&gt;的若干意见》（环发〔2003〕60号）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（11）《国务院办公厅转发国家发展改革委等部门关于加快推行清洁生产意见的通知》（国办发〔2003〕100号）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（12）《国家环保总局关于印发重点企业清洁生产审核程序的规定的通知》（环发〔2005〕151号）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（13）《关于深入推进重点企业清洁生产的通知》（环发〔2010〕54号）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（14）《国务院关于印发打赢蓝天保卫战三年行动计划的通知》（国发〔2018〕22号）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（15）《产业结构调整指导目录》(2019修正）国家发展改革委第29号令</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（16）《高耗能落后机电设备（产品）淘汰目录（第四批）》（2016年3月发布）</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（17）关于印发《清洁生产审核评估与验收指南》的通知（环办科技〔2018〕5号）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（18）河南省发展和改革委员会河南省环境保护厅关于印发《河南省清洁生产审核实施细则》的通知（豫发改环资〔2018〕161号）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（19）河南省人民政府办公厅《关于印发河南省2019年大气污染防治攻坚战实施方案的通知》（豫环攻坚办〔2019〕25号）</w:t>
      </w:r>
    </w:p>
    <w:p>
      <w:pPr>
        <w:spacing w:line="360" w:lineRule="auto"/>
        <w:jc w:val="left"/>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（20）《河南省人民政府关于印发河南省污染防治攻坚战三年行动计划（2018-2020年）的通知》（豫政〔2018〕30号）</w:t>
      </w:r>
    </w:p>
    <w:p>
      <w:pPr>
        <w:spacing w:line="360" w:lineRule="auto"/>
        <w:jc w:val="left"/>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（21）《河南省2022年大气、水、土壤污染防治攻坚战及农业农村污染治理攻坚战实施方案》（豫环委办[2022]9号）</w:t>
      </w:r>
    </w:p>
    <w:p>
      <w:pPr>
        <w:spacing w:line="360" w:lineRule="auto"/>
        <w:jc w:val="left"/>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（22）《河南省2021年工业企业大气污染物全面达标提升行动方案》</w:t>
      </w:r>
    </w:p>
    <w:p>
      <w:pPr>
        <w:spacing w:line="360" w:lineRule="auto"/>
        <w:jc w:val="left"/>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（23）《新乡市2022年大气、水、土壤污染防治攻坚战及农业农村污染治理攻坚战实施方案》（新环攻坚办[2022]60号）</w:t>
      </w:r>
    </w:p>
    <w:p>
      <w:pPr>
        <w:spacing w:line="360" w:lineRule="auto"/>
        <w:jc w:val="left"/>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（24）《河南省重污染天气重点行业应急减排措施制定技术指南（2021年修订版）》</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1.8.2标准及技术规范</w:t>
      </w:r>
    </w:p>
    <w:p>
      <w:pPr>
        <w:spacing w:line="360" w:lineRule="auto"/>
        <w:jc w:val="left"/>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t>（1）《大气污染物综合排放标准》（GB16297-1996）（1997年01月01日起实施）</w:t>
      </w:r>
    </w:p>
    <w:p>
      <w:pPr>
        <w:spacing w:line="360" w:lineRule="auto"/>
        <w:jc w:val="left"/>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t>（2）《新乡市生态环境局关于进一步规范工业企业颗粒物排放限值的通知》</w:t>
      </w:r>
    </w:p>
    <w:p>
      <w:pPr>
        <w:spacing w:line="360" w:lineRule="auto"/>
        <w:jc w:val="left"/>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t>（3）《工业企业厂界环境噪声排放标准》（GB12348-2008）</w:t>
      </w:r>
    </w:p>
    <w:p>
      <w:pPr>
        <w:spacing w:line="360" w:lineRule="auto"/>
        <w:jc w:val="left"/>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t>（4）《污水综合排放标准》（GB8978-1996）（1998年01月01日起实施）</w:t>
      </w:r>
    </w:p>
    <w:p>
      <w:pPr>
        <w:spacing w:line="360" w:lineRule="auto"/>
        <w:jc w:val="left"/>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t>（5）《一般工业固体废物贮存和填埋污染控制标准（GB 18599-2020）》</w:t>
      </w:r>
    </w:p>
    <w:p>
      <w:pPr>
        <w:spacing w:line="360" w:lineRule="auto"/>
        <w:jc w:val="left"/>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t>（6）《危险废物贮存污染控制标准》（GB 18597-2001）及其修改单</w:t>
      </w:r>
    </w:p>
    <w:p>
      <w:pPr>
        <w:spacing w:line="360" w:lineRule="auto"/>
        <w:jc w:val="left"/>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val="en-US" w:eastAsia="zh-CN"/>
          <w14:textFill>
            <w14:solidFill>
              <w14:schemeClr w14:val="tx1"/>
            </w14:solidFill>
          </w14:textFill>
        </w:rPr>
        <w:t>（7）《电镀污染排放标准》（GB21900-2008）</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highlight w:val="none"/>
          <w:u w:val="none"/>
          <w:lang w:val="en-US" w:eastAsia="zh-CN"/>
          <w14:textFill>
            <w14:solidFill>
              <w14:schemeClr w14:val="tx1"/>
            </w14:solidFill>
          </w14:textFill>
        </w:rPr>
        <w:t>（8）《电镀行业清洁生产评价指标体系》（2015年第25号令）</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1.8.3其他参考资料</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（1）《新乡市俊业新材料有限公司</w:t>
      </w:r>
      <w:r>
        <w:rPr>
          <w:rFonts w:hint="default" w:ascii="Times New Roman" w:hAnsi="Times New Roman" w:cs="Times New Roman"/>
          <w:b w:val="0"/>
          <w:bCs w:val="0"/>
          <w:color w:val="auto"/>
          <w:sz w:val="24"/>
          <w:szCs w:val="24"/>
          <w:highlight w:val="none"/>
          <w:lang w:val="en-US" w:eastAsia="zh-CN"/>
        </w:rPr>
        <w:t>年产冲孔镀镍钢带240吨、钢壳8000万只项目现</w:t>
      </w:r>
      <w:r>
        <w:rPr>
          <w:rFonts w:hint="default" w:ascii="Times New Roman" w:hAnsi="Times New Roman" w:cs="Times New Roman"/>
          <w:b w:val="0"/>
          <w:bCs w:val="0"/>
          <w:color w:val="auto"/>
          <w:sz w:val="24"/>
          <w:szCs w:val="24"/>
          <w:lang w:val="en-US" w:eastAsia="zh-CN"/>
        </w:rPr>
        <w:t>状环境影响评估报告》</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（2）新乡市俊业新材料有限公司排污许可证</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（3）新乡市俊业新材料有限公司自行监测报告</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（4）企业提供的有关的基础数据、技术资料</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（5）现场考察勘测资料等</w:t>
      </w: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rPr>
          <w:rFonts w:hint="default" w:ascii="Times New Roman" w:hAnsi="Times New Roman" w:cs="Times New Roman"/>
          <w:lang w:eastAsia="zh-CN"/>
        </w:rPr>
      </w:pPr>
      <w:r>
        <w:rPr>
          <w:rFonts w:hint="default" w:ascii="Times New Roman" w:hAnsi="Times New Roman" w:cs="Times New Roman"/>
          <w:lang w:eastAsia="zh-CN"/>
        </w:rPr>
        <w:br w:type="page"/>
      </w:r>
    </w:p>
    <w:p>
      <w:pPr>
        <w:pStyle w:val="3"/>
        <w:bidi w:val="0"/>
        <w:jc w:val="center"/>
        <w:rPr>
          <w:rFonts w:hint="default" w:ascii="Times New Roman" w:hAnsi="Times New Roman" w:cs="Times New Roman"/>
          <w:lang w:eastAsia="zh-CN"/>
        </w:rPr>
      </w:pPr>
      <w:bookmarkStart w:id="78" w:name="_Toc484"/>
      <w:bookmarkStart w:id="79" w:name="_Toc6655"/>
      <w:bookmarkStart w:id="80" w:name="_Toc31822"/>
      <w:bookmarkStart w:id="81" w:name="_Toc24590"/>
      <w:r>
        <w:rPr>
          <w:rFonts w:hint="default" w:ascii="Times New Roman" w:hAnsi="Times New Roman" w:cs="Times New Roman"/>
          <w:lang w:eastAsia="zh-CN"/>
        </w:rPr>
        <w:t>第二章</w:t>
      </w:r>
      <w:r>
        <w:rPr>
          <w:rFonts w:hint="default" w:ascii="Times New Roman" w:hAnsi="Times New Roman" w:cs="Times New Roman"/>
          <w:lang w:val="en-US" w:eastAsia="zh-CN"/>
        </w:rPr>
        <w:t xml:space="preserve"> </w:t>
      </w:r>
      <w:r>
        <w:rPr>
          <w:rFonts w:hint="default" w:ascii="Times New Roman" w:hAnsi="Times New Roman" w:cs="Times New Roman"/>
          <w:lang w:eastAsia="zh-CN"/>
        </w:rPr>
        <w:t>审核准备</w:t>
      </w:r>
      <w:bookmarkEnd w:id="78"/>
      <w:bookmarkEnd w:id="79"/>
      <w:bookmarkEnd w:id="80"/>
      <w:bookmarkEnd w:id="81"/>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审核准备是企业进行清洁生产审核工作第一个阶段。目的是通过宣传教育使企业的领导和职工对清洁生产有一个初步的、比较正确的认识，消除思想和观念上的障碍；了解企业清洁生产审核的工作内容、要求及其工作程序。本阶段工作的重点是取得企业高层领导的支持和参与，组建清洁生产审核小组，制定审核工作计划和宣传清洁生产思想。 </w:t>
      </w:r>
    </w:p>
    <w:p>
      <w:pPr>
        <w:pStyle w:val="5"/>
        <w:bidi w:val="0"/>
        <w:rPr>
          <w:rFonts w:hint="default" w:ascii="Times New Roman" w:hAnsi="Times New Roman" w:cs="Times New Roman"/>
          <w:lang w:val="en-US" w:eastAsia="zh-CN"/>
        </w:rPr>
      </w:pPr>
      <w:bookmarkStart w:id="82" w:name="_Toc11592"/>
      <w:bookmarkStart w:id="83" w:name="_Toc9797"/>
      <w:bookmarkStart w:id="84" w:name="_Toc29850"/>
      <w:r>
        <w:rPr>
          <w:rFonts w:hint="default" w:ascii="Times New Roman" w:hAnsi="Times New Roman" w:cs="Times New Roman"/>
          <w:lang w:val="en-US" w:eastAsia="zh-CN"/>
        </w:rPr>
        <w:t>2.1 宣传教育</w:t>
      </w:r>
      <w:bookmarkEnd w:id="82"/>
      <w:bookmarkEnd w:id="83"/>
      <w:bookmarkEnd w:id="84"/>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广泛开展宣传教育活动，争取公司广大员工的大力支持，尤其是生产一线员工的积极参与，是清洁生产审核工作顺利进行和取得成效的保证。</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睿嘉环保科技有限责任公司清洁生产审核师就清洁生产的目的、意义、对企业长远发展的重要性与公司领导层进行了充分沟通、交流，介绍了国内其他企业开展审核所取得的成果，公司存在的实施清洁生产的潜力，预期取得的环境、社会和经济效益，取得了公司领导对清洁生产审核工作的理解和支持。</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新乡市俊业新材料有限公司召开了清洁生产审核动员会。动员会由公司总经理琚新春主持并做了动员会报告，要求各单位积极发动清洁生产审核工作，同时充分利用简报、标语等形式进行广泛宣传，使全体员工认识到开展清洁生产审核的意义，提高了广大员工对清洁生产的认识，增强员工节能降耗、保护环境的清洁生产意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睿嘉环保科技有限责任公司组织技术专家进行了清洁生产审核技术培训，使大家比较系统、全面地认识和了解清洁生产审核理念；同时对清洁生产审核的七个阶段的工作内容进行了详细地讲解；组织培训人员参加清洁生产审核知识培训，进行清洁生产知识有奖考试，进一步促使全员对清洁生产的认识。</w:t>
      </w:r>
    </w:p>
    <w:p>
      <w:pPr>
        <w:pStyle w:val="5"/>
        <w:bidi w:val="0"/>
        <w:rPr>
          <w:rFonts w:hint="default" w:ascii="Times New Roman" w:hAnsi="Times New Roman" w:cs="Times New Roman"/>
          <w:lang w:val="en-US" w:eastAsia="zh-CN"/>
        </w:rPr>
      </w:pPr>
      <w:bookmarkStart w:id="85" w:name="_Toc20811"/>
      <w:r>
        <w:rPr>
          <w:rFonts w:hint="default" w:ascii="Times New Roman" w:hAnsi="Times New Roman" w:cs="Times New Roman"/>
          <w:lang w:val="en-US" w:eastAsia="zh-CN"/>
        </w:rPr>
        <w:t>2.2审核小组组建</w:t>
      </w:r>
      <w:bookmarkEnd w:id="85"/>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为了便于清洁生产审核工作的顺利进行，加快实施清洁生产的步伐，持续有效的开展清洁生产工作，推动企业节能、综合利用、提高资源利用效率，达到“节能、降耗、减污、增效”的目的，实现经济效益和环境效益的有机统一，结合企业组织机构实际，企业迅速成立了清洁生产审核领导小组，具体成员名单见表 2-1。</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表2-1  企业清洁生产审核工作小组成员表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1980"/>
        <w:gridCol w:w="1830"/>
        <w:gridCol w:w="315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成员</w:t>
            </w:r>
          </w:p>
        </w:tc>
        <w:tc>
          <w:tcPr>
            <w:tcW w:w="198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审核小组职务</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公司职务</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职责</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eastAsiaTheme="minorEastAsia"/>
                <w:b w:val="0"/>
                <w:bCs w:val="0"/>
                <w:color w:val="auto"/>
                <w:sz w:val="21"/>
                <w:szCs w:val="21"/>
                <w:highlight w:val="yellow"/>
                <w:vertAlign w:val="baseline"/>
                <w:lang w:eastAsia="zh-CN"/>
              </w:rPr>
            </w:pPr>
            <w:r>
              <w:rPr>
                <w:rFonts w:hint="default" w:ascii="Times New Roman" w:hAnsi="Times New Roman" w:cs="Times New Roman"/>
                <w:b w:val="0"/>
                <w:bCs w:val="0"/>
                <w:color w:val="auto"/>
                <w:sz w:val="21"/>
                <w:szCs w:val="21"/>
                <w:vertAlign w:val="baseline"/>
                <w:lang w:val="en-US" w:eastAsia="zh-CN"/>
              </w:rPr>
              <w:t>岳永军</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组长</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总经理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val="en-US" w:eastAsia="zh-CN"/>
              </w:rPr>
              <w:t>负责全面工作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highlight w:val="yellow"/>
                <w:vertAlign w:val="baseline"/>
                <w:lang w:eastAsia="zh-CN"/>
              </w:rPr>
            </w:pPr>
            <w:r>
              <w:rPr>
                <w:rFonts w:hint="default" w:ascii="Times New Roman" w:hAnsi="Times New Roman" w:cs="Times New Roman"/>
                <w:b w:val="0"/>
                <w:bCs w:val="0"/>
                <w:color w:val="auto"/>
                <w:sz w:val="21"/>
                <w:szCs w:val="21"/>
                <w:vertAlign w:val="baseline"/>
                <w:lang w:val="en-US" w:eastAsia="zh-CN"/>
              </w:rPr>
              <w:t>琚新春</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生产部经理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负责车间各工段生产过程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highlight w:val="yellow"/>
                <w:vertAlign w:val="baseline"/>
                <w:lang w:eastAsia="zh-CN"/>
              </w:rPr>
            </w:pPr>
            <w:r>
              <w:rPr>
                <w:rFonts w:hint="default" w:ascii="Times New Roman" w:hAnsi="Times New Roman" w:cs="Times New Roman"/>
                <w:b w:val="0"/>
                <w:bCs w:val="0"/>
                <w:color w:val="auto"/>
                <w:sz w:val="21"/>
                <w:szCs w:val="21"/>
                <w:vertAlign w:val="baseline"/>
                <w:lang w:val="en-US" w:eastAsia="zh-CN"/>
              </w:rPr>
              <w:t>赵喜亮</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保安部经理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负责安全环保工作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highlight w:val="yellow"/>
                <w:vertAlign w:val="baseline"/>
                <w:lang w:eastAsia="zh-CN"/>
              </w:rPr>
            </w:pPr>
            <w:r>
              <w:rPr>
                <w:rFonts w:hint="default" w:ascii="Times New Roman" w:hAnsi="Times New Roman" w:cs="Times New Roman"/>
                <w:b w:val="0"/>
                <w:bCs w:val="0"/>
                <w:color w:val="auto"/>
                <w:sz w:val="21"/>
                <w:szCs w:val="21"/>
                <w:vertAlign w:val="baseline"/>
                <w:lang w:val="en-US" w:eastAsia="zh-CN"/>
              </w:rPr>
              <w:t>林文奇</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设备管理干员</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负责生产设备设施管理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highlight w:val="yellow"/>
                <w:vertAlign w:val="baseline"/>
                <w:lang w:eastAsia="zh-CN"/>
              </w:rPr>
            </w:pPr>
            <w:r>
              <w:rPr>
                <w:rFonts w:hint="default" w:ascii="Times New Roman" w:hAnsi="Times New Roman" w:cs="Times New Roman"/>
                <w:b w:val="0"/>
                <w:bCs w:val="0"/>
                <w:color w:val="auto"/>
                <w:sz w:val="21"/>
                <w:szCs w:val="21"/>
                <w:vertAlign w:val="baseline"/>
                <w:lang w:val="en-US" w:eastAsia="zh-CN"/>
              </w:rPr>
              <w:t>吴新香</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财务部经理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负责清洁生产资金保障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highlight w:val="yellow"/>
                <w:vertAlign w:val="baseline"/>
                <w:lang w:eastAsia="zh-CN"/>
              </w:rPr>
            </w:pPr>
            <w:r>
              <w:rPr>
                <w:rFonts w:hint="default" w:ascii="Times New Roman" w:hAnsi="Times New Roman" w:cs="Times New Roman"/>
                <w:b w:val="0"/>
                <w:bCs w:val="0"/>
                <w:color w:val="auto"/>
                <w:sz w:val="21"/>
                <w:szCs w:val="21"/>
                <w:vertAlign w:val="baseline"/>
                <w:lang w:val="en-US" w:eastAsia="zh-CN"/>
              </w:rPr>
              <w:t>琚新春</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综合部经理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负责清洁生产各项协调工作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highlight w:val="yellow"/>
                <w:vertAlign w:val="baseline"/>
                <w:lang w:eastAsia="zh-CN"/>
              </w:rPr>
            </w:pPr>
            <w:r>
              <w:rPr>
                <w:rFonts w:hint="default" w:ascii="Times New Roman" w:hAnsi="Times New Roman" w:cs="Times New Roman"/>
                <w:b w:val="0"/>
                <w:bCs w:val="0"/>
                <w:color w:val="auto"/>
                <w:sz w:val="21"/>
                <w:szCs w:val="21"/>
                <w:vertAlign w:val="baseline"/>
                <w:lang w:val="en-US" w:eastAsia="zh-CN"/>
              </w:rPr>
              <w:t>和建霞</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办公室职员</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负责日常基础工作及建档</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清洁生产实施过程中，河南睿嘉环保科技有限责任公司提供了相关的技术支持工作，清洁生产审核技术指导小组成员名单：</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组 长：贾保军</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成 员：杨伟  刘红霞  刘怡  王渤雅  刘强</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清洁生产审核工作小组的职责为：</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（1）组织本单位清洁生产的相关培训工作；</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（2）协助本单位领导组织清洁生产的工作分析，寻求节能、降耗、减污、</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增效的机会；</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（3）负责本单位清洁生产建议的征集、登记、筛选与汇总工作；</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（4）协调进行清洁生产方案的评审、实施和验收等工作；</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（5）负责本单位清洁生产工作的总结，对做出贡献的集体和个人提出奖励</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建议。</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清洁生产审核技术指导小组的职责：</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（1）进行清洁生产培训，开展现状调研、现场考察、工艺分析；</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（2）提供政策、法规、标准、先进的工艺设备、废弃物回收利用等信息；</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（3）指导企业制定清洁生产方案，并进行分析、评价、筛选、落实；</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（4）指导编制清洁生产审核验收报告。</w:t>
      </w:r>
    </w:p>
    <w:p>
      <w:pPr>
        <w:spacing w:line="360" w:lineRule="auto"/>
        <w:jc w:val="left"/>
        <w:rPr>
          <w:rFonts w:hint="default" w:ascii="Times New Roman" w:hAnsi="Times New Roman" w:cs="Times New Roman"/>
          <w:b w:val="0"/>
          <w:bCs w:val="0"/>
          <w:color w:val="auto"/>
          <w:sz w:val="24"/>
          <w:szCs w:val="24"/>
          <w:lang w:val="en-US" w:eastAsia="zh-CN"/>
        </w:rPr>
      </w:pPr>
    </w:p>
    <w:p>
      <w:pPr>
        <w:spacing w:line="360" w:lineRule="auto"/>
        <w:jc w:val="left"/>
        <w:rPr>
          <w:rFonts w:hint="default" w:ascii="Times New Roman" w:hAnsi="Times New Roman" w:cs="Times New Roman"/>
          <w:b w:val="0"/>
          <w:bCs w:val="0"/>
          <w:color w:val="auto"/>
          <w:sz w:val="24"/>
          <w:szCs w:val="24"/>
          <w:lang w:val="en-US" w:eastAsia="zh-CN"/>
        </w:rPr>
      </w:pPr>
    </w:p>
    <w:p>
      <w:pPr>
        <w:pStyle w:val="5"/>
        <w:bidi w:val="0"/>
        <w:rPr>
          <w:rFonts w:hint="default" w:ascii="Times New Roman" w:hAnsi="Times New Roman" w:cs="Times New Roman"/>
          <w:lang w:val="en-US" w:eastAsia="zh-CN"/>
        </w:rPr>
      </w:pPr>
      <w:bookmarkStart w:id="86" w:name="_Toc7403"/>
      <w:r>
        <w:rPr>
          <w:rFonts w:hint="default" w:ascii="Times New Roman" w:hAnsi="Times New Roman" w:cs="Times New Roman"/>
          <w:lang w:val="en-US" w:eastAsia="zh-CN"/>
        </w:rPr>
        <w:t>2.3行业专家指导</w:t>
      </w:r>
      <w:bookmarkEnd w:id="86"/>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本轮清洁生产审核邀请了</w:t>
      </w:r>
      <w:r>
        <w:rPr>
          <w:rFonts w:hint="default" w:ascii="Times New Roman" w:hAnsi="Times New Roman" w:cs="Times New Roman"/>
          <w:b w:val="0"/>
          <w:bCs w:val="0"/>
          <w:color w:val="auto"/>
          <w:sz w:val="24"/>
          <w:szCs w:val="24"/>
          <w:highlight w:val="none"/>
          <w:lang w:val="en-US" w:eastAsia="zh-CN"/>
        </w:rPr>
        <w:t>河南新太行电源股份有限公司的李加勇高级工程师指导本轮审核工作，审核过程中，行业</w:t>
      </w:r>
      <w:r>
        <w:rPr>
          <w:rFonts w:hint="default" w:ascii="Times New Roman" w:hAnsi="Times New Roman" w:cs="Times New Roman"/>
          <w:b w:val="0"/>
          <w:bCs w:val="0"/>
          <w:color w:val="auto"/>
          <w:sz w:val="24"/>
          <w:szCs w:val="24"/>
          <w:lang w:val="en-US" w:eastAsia="zh-CN"/>
        </w:rPr>
        <w:t>专家给予了现场指导，并给予了宝贵的自动化改造建议。具体的专家简介及意见见附件。</w:t>
      </w:r>
    </w:p>
    <w:p>
      <w:pPr>
        <w:pStyle w:val="5"/>
        <w:bidi w:val="0"/>
        <w:rPr>
          <w:rFonts w:hint="default" w:ascii="Times New Roman" w:hAnsi="Times New Roman" w:cs="Times New Roman"/>
          <w:lang w:val="en-US" w:eastAsia="zh-CN"/>
        </w:rPr>
      </w:pPr>
      <w:bookmarkStart w:id="87" w:name="_Toc17123"/>
      <w:r>
        <w:rPr>
          <w:rFonts w:hint="default" w:ascii="Times New Roman" w:hAnsi="Times New Roman" w:cs="Times New Roman"/>
          <w:lang w:val="en-US" w:eastAsia="zh-CN"/>
        </w:rPr>
        <w:t>2.4审核前公示</w:t>
      </w:r>
      <w:bookmarkEnd w:id="87"/>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w:t>
      </w:r>
      <w:r>
        <w:rPr>
          <w:rFonts w:hint="default" w:ascii="Times New Roman" w:hAnsi="Times New Roman" w:cs="Times New Roman"/>
          <w:b w:val="0"/>
          <w:bCs w:val="0"/>
          <w:color w:val="auto"/>
          <w:sz w:val="24"/>
          <w:szCs w:val="24"/>
          <w:highlight w:val="none"/>
          <w:lang w:val="en-US" w:eastAsia="zh-CN"/>
        </w:rPr>
        <w:t>于2021年5月22日在公共环保网站</w:t>
      </w:r>
      <w:r>
        <w:rPr>
          <w:rFonts w:hint="default" w:ascii="Times New Roman" w:hAnsi="Times New Roman" w:cs="Times New Roman"/>
          <w:b w:val="0"/>
          <w:bCs w:val="0"/>
          <w:color w:val="auto"/>
          <w:sz w:val="24"/>
          <w:szCs w:val="24"/>
          <w:lang w:val="en-US" w:eastAsia="zh-CN"/>
        </w:rPr>
        <w:t>上进行了审核前公示，详见附件。</w:t>
      </w:r>
    </w:p>
    <w:p>
      <w:pPr>
        <w:pStyle w:val="5"/>
        <w:bidi w:val="0"/>
        <w:rPr>
          <w:rFonts w:hint="default" w:ascii="Times New Roman" w:hAnsi="Times New Roman" w:cs="Times New Roman"/>
          <w:lang w:val="en-US" w:eastAsia="zh-CN"/>
        </w:rPr>
      </w:pPr>
      <w:bookmarkStart w:id="88" w:name="_Toc27811"/>
      <w:bookmarkStart w:id="89" w:name="_Toc3024"/>
      <w:bookmarkStart w:id="90" w:name="_Toc19391"/>
      <w:r>
        <w:rPr>
          <w:rFonts w:hint="default" w:ascii="Times New Roman" w:hAnsi="Times New Roman" w:cs="Times New Roman"/>
          <w:lang w:val="en-US" w:eastAsia="zh-CN"/>
        </w:rPr>
        <w:t>2.5 克服障碍</w:t>
      </w:r>
      <w:bookmarkEnd w:id="88"/>
      <w:bookmarkEnd w:id="89"/>
      <w:bookmarkEnd w:id="90"/>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在国外虽然已经开展了多年，但由于我国经济发展的不平衡性和管理理念的滞后，造成许多企业在该项工作已经引入国内多年的今天，对之认识还仍然很不够。所以在开展清洁生产审核工作的时候，不可避免会遇到各种各样的障碍，结合公司清洁生产审核过程中的实际情况，遇到的障碍主要有思想观念、技术水平等几个方面。针对公司领导和各级员工提出的相关问题，通过积极认真的讲解清洁生产的基础知识和介绍清洁生产的成功实例，圆满的解决这些问题，从根本上消除了公司领导及员工的思想障碍，最终取得本公司全体人员的理解和支持；在清洁生产审核开展的过程中，从公司领导到基层员工，都积极认真的对待清洁生产审核工作，踏踏实实的领悟清洁生产的含义，并快速的落实到生产行动中，为“节能、降耗、减污、增效”、落实科学的发展观，坚持贯彻可持续发展的理念做出自己的贡献。下表为审核过程中所遇到的具体问题和解决方法：</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 2-2 开展清洁生产审核的障碍及解决方法</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3090"/>
        <w:gridCol w:w="45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障碍类型</w:t>
            </w: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障碍表现</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解决方案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思想观念障碍</w:t>
            </w: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1、清洁生产审核无非是过去环保管理办法的老调重弹</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1、讲透清洁生产审核与过去的污染预防政策、八项管理制度、污染物流失总量管理、三分治理七分管理之间的关系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2、任务没有专项的清洁生产资金，不更新设备，一切都是空谈</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val="en-US" w:eastAsia="zh-CN"/>
              </w:rPr>
              <w:t>2、</w:t>
            </w:r>
            <w:r>
              <w:rPr>
                <w:rFonts w:hint="default" w:ascii="Times New Roman" w:hAnsi="Times New Roman" w:cs="Times New Roman"/>
                <w:b w:val="0"/>
                <w:bCs w:val="0"/>
                <w:color w:val="auto"/>
                <w:sz w:val="21"/>
                <w:szCs w:val="21"/>
                <w:vertAlign w:val="baseline"/>
                <w:lang w:eastAsia="zh-CN"/>
              </w:rPr>
              <w:t>用国内外事例讲明无/低费方案巨大的经济与环境效益，阐明无/低费方案与设备更新方案的关系，强调企业清洁生产审核的核心思想是“从我做起、从现在做起”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3、清洁生产审核工作比较复杂，是否会影响企业正常生产</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3、讲清审核的工作量和它带来的各种效益之间的关系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4、审核工作只是清洁生产小组的事情，与其他人无关</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4、讲清清洁生产是对企业生产实行全过程、全方位的污染预防与控制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技术障碍</w:t>
            </w: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1、缺乏清洁生产审核能力</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1、聘请并充分向外部清洁审核专家咨询、参加培训班、学习有关资料。</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2、不了解清洁生产工艺</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2、聘请并充分向外部清洁生产工艺专家咨询</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政策法律障碍</w:t>
            </w: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实施清洁生产与现行环境管理制度规定有矛盾</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国家已经颁布并实施了《清洁生产审核办法》、《中华人民共和国清洁生产促进法》等相关法规</w:t>
            </w:r>
          </w:p>
        </w:tc>
      </w:tr>
    </w:tbl>
    <w:p>
      <w:pPr>
        <w:pStyle w:val="5"/>
        <w:bidi w:val="0"/>
        <w:rPr>
          <w:rFonts w:hint="default" w:ascii="Times New Roman" w:hAnsi="Times New Roman" w:cs="Times New Roman"/>
          <w:lang w:val="en-US" w:eastAsia="zh-CN"/>
        </w:rPr>
      </w:pPr>
      <w:bookmarkStart w:id="91" w:name="_Toc14809"/>
      <w:r>
        <w:rPr>
          <w:rFonts w:hint="default" w:ascii="Times New Roman" w:hAnsi="Times New Roman" w:cs="Times New Roman"/>
          <w:lang w:val="en-US" w:eastAsia="zh-CN"/>
        </w:rPr>
        <w:t>2.6 清洁生产审核工作计划</w:t>
      </w:r>
      <w:bookmarkEnd w:id="91"/>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为了使清洁生产审核工作能够按计划完成，达到预期效果，审核小组成员根据清洁生产审核的程序和步骤及具体要求，并结合</w:t>
      </w:r>
      <w:r>
        <w:rPr>
          <w:rFonts w:hint="default" w:ascii="Times New Roman" w:hAnsi="Times New Roman" w:cs="Times New Roman"/>
          <w:b w:val="0"/>
          <w:bCs w:val="0"/>
          <w:color w:val="auto"/>
          <w:sz w:val="24"/>
          <w:szCs w:val="24"/>
          <w:highlight w:val="none"/>
          <w:lang w:val="en-US" w:eastAsia="zh-CN"/>
        </w:rPr>
        <w:t>新乡市俊业新材料有限公司</w:t>
      </w:r>
      <w:r>
        <w:rPr>
          <w:rFonts w:hint="default" w:ascii="Times New Roman" w:hAnsi="Times New Roman" w:cs="Times New Roman"/>
          <w:b w:val="0"/>
          <w:bCs w:val="0"/>
          <w:color w:val="auto"/>
          <w:sz w:val="24"/>
          <w:szCs w:val="24"/>
          <w:lang w:val="en-US" w:eastAsia="zh-CN"/>
        </w:rPr>
        <w:t>的实际情况，对每一阶段需要开展的工作内容、进度、参与部门的责任人、工作人员及产出都进行了详细安排。清洁生产审核小组工作计划见表2-3。</w:t>
      </w:r>
    </w:p>
    <w:p>
      <w:pPr>
        <w:pStyle w:val="5"/>
        <w:bidi w:val="0"/>
        <w:rPr>
          <w:rFonts w:hint="default" w:ascii="Times New Roman" w:hAnsi="Times New Roman" w:cs="Times New Roman"/>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bookmarkStart w:id="92" w:name="_Toc18597"/>
      <w:bookmarkStart w:id="93" w:name="_Toc30640"/>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表2-3 清洁生产审核工作计划</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011"/>
        <w:gridCol w:w="505"/>
        <w:gridCol w:w="279"/>
        <w:gridCol w:w="279"/>
        <w:gridCol w:w="279"/>
        <w:gridCol w:w="279"/>
        <w:gridCol w:w="279"/>
        <w:gridCol w:w="279"/>
        <w:gridCol w:w="280"/>
        <w:gridCol w:w="280"/>
        <w:gridCol w:w="281"/>
        <w:gridCol w:w="281"/>
        <w:gridCol w:w="281"/>
        <w:gridCol w:w="281"/>
        <w:gridCol w:w="281"/>
        <w:gridCol w:w="281"/>
        <w:gridCol w:w="281"/>
        <w:gridCol w:w="281"/>
        <w:gridCol w:w="281"/>
        <w:gridCol w:w="281"/>
        <w:gridCol w:w="281"/>
        <w:gridCol w:w="281"/>
        <w:gridCol w:w="281"/>
        <w:gridCol w:w="282"/>
        <w:gridCol w:w="282"/>
        <w:gridCol w:w="282"/>
        <w:gridCol w:w="282"/>
        <w:gridCol w:w="282"/>
        <w:gridCol w:w="282"/>
        <w:gridCol w:w="283"/>
        <w:gridCol w:w="283"/>
        <w:gridCol w:w="283"/>
        <w:gridCol w:w="179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阶段</w:t>
            </w: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工作任务</w:t>
            </w:r>
          </w:p>
        </w:tc>
        <w:tc>
          <w:tcPr>
            <w:tcW w:w="8933" w:type="dxa"/>
            <w:gridSpan w:val="31"/>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时标</w:t>
            </w:r>
          </w:p>
        </w:tc>
        <w:tc>
          <w:tcPr>
            <w:tcW w:w="17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审核准备</w:t>
            </w: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2021年</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①调查企业基本情况</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cs="Times New Roman"/>
                <w:sz w:val="21"/>
                <w:u w:val="none"/>
              </w:rPr>
              <mc:AlternateContent>
                <mc:Choice Requires="wps">
                  <w:drawing>
                    <wp:anchor distT="0" distB="0" distL="114300" distR="114300" simplePos="0" relativeHeight="251702272" behindDoc="0" locked="0" layoutInCell="1" allowOverlap="1">
                      <wp:simplePos x="0" y="0"/>
                      <wp:positionH relativeFrom="column">
                        <wp:posOffset>8255</wp:posOffset>
                      </wp:positionH>
                      <wp:positionV relativeFrom="paragraph">
                        <wp:posOffset>87630</wp:posOffset>
                      </wp:positionV>
                      <wp:extent cx="1222375" cy="0"/>
                      <wp:effectExtent l="0" t="13970" r="15875" b="24130"/>
                      <wp:wrapNone/>
                      <wp:docPr id="5" name="直接连接符 5"/>
                      <wp:cNvGraphicFramePr/>
                      <a:graphic xmlns:a="http://schemas.openxmlformats.org/drawingml/2006/main">
                        <a:graphicData uri="http://schemas.microsoft.com/office/word/2010/wordprocessingShape">
                          <wps:wsp>
                            <wps:cNvCnPr/>
                            <wps:spPr>
                              <a:xfrm>
                                <a:off x="4582795" y="2004060"/>
                                <a:ext cx="122237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5pt;margin-top:6.9pt;height:0pt;width:96.25pt;z-index:251702272;mso-width-relative:page;mso-height-relative:page;" filled="f" stroked="t" coordsize="21600,21600" o:gfxdata="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rJi1&#10;b9EAAAAHAQAADwAAAAAAAAABACAAAAAiAAAAZHJzL2Rvd25yZXYueG1sUEsBAhQAFAAAAAgAh07i&#10;QPLyMnTwAQAAvgMAAA4AAAAAAAAAAQAgAAAAIAEAAGRycy9lMm9Eb2MueG1sUEsFBgAAAAAGAAYA&#10;WQEAAIIFA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 xml:space="preserve">各相关部门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②成立审核小组</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cs="Times New Roman"/>
                <w:sz w:val="21"/>
                <w:u w:val="none"/>
              </w:rPr>
              <mc:AlternateContent>
                <mc:Choice Requires="wps">
                  <w:drawing>
                    <wp:anchor distT="0" distB="0" distL="114300" distR="114300" simplePos="0" relativeHeight="251703296" behindDoc="0" locked="0" layoutInCell="1" allowOverlap="1">
                      <wp:simplePos x="0" y="0"/>
                      <wp:positionH relativeFrom="column">
                        <wp:posOffset>-17145</wp:posOffset>
                      </wp:positionH>
                      <wp:positionV relativeFrom="paragraph">
                        <wp:posOffset>97790</wp:posOffset>
                      </wp:positionV>
                      <wp:extent cx="1483360" cy="0"/>
                      <wp:effectExtent l="0" t="13970" r="2540" b="24130"/>
                      <wp:wrapNone/>
                      <wp:docPr id="6" name="直接连接符 6"/>
                      <wp:cNvGraphicFramePr/>
                      <a:graphic xmlns:a="http://schemas.openxmlformats.org/drawingml/2006/main">
                        <a:graphicData uri="http://schemas.microsoft.com/office/word/2010/wordprocessingShape">
                          <wps:wsp>
                            <wps:cNvCnPr/>
                            <wps:spPr>
                              <a:xfrm>
                                <a:off x="0" y="0"/>
                                <a:ext cx="148336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35pt;margin-top:7.7pt;height:0pt;width:116.8pt;z-index:251703296;mso-width-relative:page;mso-height-relative:page;" filled="f" stroked="t" coordsize="21600,21600" o:gfxdata="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K2sbadUAAAAIAQAA&#10;DwAAAAAAAAABACAAAAAiAAAAZHJzL2Rvd25yZXYueG1sUEsBAhQAFAAAAAgAh07iQCq+yFvjAQAA&#10;sgMAAA4AAAAAAAAAAQAgAAAAJAEAAGRycy9lMm9Eb2MueG1sUEsFBgAAAAAGAAYAWQEAAHkFAAAA&#10;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③制定审核工作计划</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cs="Times New Roman"/>
                <w:sz w:val="21"/>
                <w:u w:val="none"/>
              </w:rPr>
              <mc:AlternateContent>
                <mc:Choice Requires="wps">
                  <w:drawing>
                    <wp:anchor distT="0" distB="0" distL="114300" distR="114300" simplePos="0" relativeHeight="251704320" behindDoc="0" locked="0" layoutInCell="1" allowOverlap="1">
                      <wp:simplePos x="0" y="0"/>
                      <wp:positionH relativeFrom="column">
                        <wp:posOffset>19685</wp:posOffset>
                      </wp:positionH>
                      <wp:positionV relativeFrom="paragraph">
                        <wp:posOffset>92075</wp:posOffset>
                      </wp:positionV>
                      <wp:extent cx="1028700" cy="4445"/>
                      <wp:effectExtent l="0" t="0" r="0" b="0"/>
                      <wp:wrapNone/>
                      <wp:docPr id="7" name="直接连接符 7"/>
                      <wp:cNvGraphicFramePr/>
                      <a:graphic xmlns:a="http://schemas.openxmlformats.org/drawingml/2006/main">
                        <a:graphicData uri="http://schemas.microsoft.com/office/word/2010/wordprocessingShape">
                          <wps:wsp>
                            <wps:cNvCnPr/>
                            <wps:spPr>
                              <a:xfrm flipV="1">
                                <a:off x="0" y="0"/>
                                <a:ext cx="1028700" cy="444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55pt;margin-top:7.25pt;height:0.35pt;width:81pt;z-index:251704320;mso-width-relative:page;mso-height-relative:page;" filled="f" stroked="t" coordsize="21600,21600" o:gfxdata="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k&#10;eTai1QAAAAcBAAAPAAAAAAAAAAEAIAAAACIAAABkcnMvZG93bnJldi54bWxQSwECFAAUAAAACACH&#10;TuJAqQPk6e4BAAC/AwAADgAAAAAAAAABACAAAAAkAQAAZHJzL2Uyb0RvYy54bWxQSwUGAAAAAAYA&#10;BgBZAQAAhAUAAAAA&#10;">
                      <v:fill on="f" focussize="0,0"/>
                      <v:stroke weight="2.25pt" color="#000000 [3213]" miterlimit="8" joinstyle="miter"/>
                      <v:imagedata o:title=""/>
                      <o:lock v:ext="edit" aspectratio="f"/>
                    </v:line>
                  </w:pict>
                </mc:Fallback>
              </mc:AlternateConten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④启动会</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cs="Times New Roman"/>
                <w:sz w:val="21"/>
                <w:u w:val="none"/>
              </w:rPr>
              <mc:AlternateContent>
                <mc:Choice Requires="wps">
                  <w:drawing>
                    <wp:anchor distT="0" distB="0" distL="114300" distR="114300" simplePos="0" relativeHeight="251705344" behindDoc="0" locked="0" layoutInCell="1" allowOverlap="1">
                      <wp:simplePos x="0" y="0"/>
                      <wp:positionH relativeFrom="column">
                        <wp:posOffset>24130</wp:posOffset>
                      </wp:positionH>
                      <wp:positionV relativeFrom="paragraph">
                        <wp:posOffset>192405</wp:posOffset>
                      </wp:positionV>
                      <wp:extent cx="245110" cy="0"/>
                      <wp:effectExtent l="0" t="13970" r="2540" b="24130"/>
                      <wp:wrapNone/>
                      <wp:docPr id="8" name="直接连接符 8"/>
                      <wp:cNvGraphicFramePr/>
                      <a:graphic xmlns:a="http://schemas.openxmlformats.org/drawingml/2006/main">
                        <a:graphicData uri="http://schemas.microsoft.com/office/word/2010/wordprocessingShape">
                          <wps:wsp>
                            <wps:cNvCnPr/>
                            <wps:spPr>
                              <a:xfrm>
                                <a:off x="0" y="0"/>
                                <a:ext cx="24511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9pt;margin-top:15.15pt;height:0pt;width:19.3pt;z-index:251705344;mso-width-relative:page;mso-height-relative:page;" filled="f" stroked="t" coordsize="21600,21600" o:gfxdata="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HOPdRfSAAAABgEAAA8AAAAA&#10;AAAAAQAgAAAAIgAAAGRycy9kb3ducmV2LnhtbFBLAQIUABQAAAAIAIdO4kCkUZlW4QEAALEDAAAO&#10;AAAAAAAAAAEAIAAAACEBAABkcnMvZTJvRG9jLnhtbFBLBQYAAAAABgAGAFkBAAB0BQAAAAA=&#10;">
                      <v:fill on="f" focussize="0,0"/>
                      <v:stroke weight="2.25pt" color="#000000 [3213]" miterlimit="8" joinstyle="miter"/>
                      <v:imagedata o:title=""/>
                      <o:lock v:ext="edit" aspectratio="f"/>
                    </v:line>
                  </w:pict>
                </mc:Fallback>
              </mc:AlternateConten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⑤宣传培训</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cs="Times New Roman"/>
                <w:sz w:val="21"/>
                <w:u w:val="none"/>
              </w:rPr>
              <mc:AlternateContent>
                <mc:Choice Requires="wps">
                  <w:drawing>
                    <wp:anchor distT="0" distB="0" distL="114300" distR="114300" simplePos="0" relativeHeight="251706368" behindDoc="0" locked="0" layoutInCell="1" allowOverlap="1">
                      <wp:simplePos x="0" y="0"/>
                      <wp:positionH relativeFrom="column">
                        <wp:posOffset>5080</wp:posOffset>
                      </wp:positionH>
                      <wp:positionV relativeFrom="paragraph">
                        <wp:posOffset>93345</wp:posOffset>
                      </wp:positionV>
                      <wp:extent cx="290195" cy="4445"/>
                      <wp:effectExtent l="0" t="0" r="0" b="0"/>
                      <wp:wrapNone/>
                      <wp:docPr id="9" name="直接连接符 9"/>
                      <wp:cNvGraphicFramePr/>
                      <a:graphic xmlns:a="http://schemas.openxmlformats.org/drawingml/2006/main">
                        <a:graphicData uri="http://schemas.microsoft.com/office/word/2010/wordprocessingShape">
                          <wps:wsp>
                            <wps:cNvCnPr/>
                            <wps:spPr>
                              <a:xfrm>
                                <a:off x="0" y="0"/>
                                <a:ext cx="290195" cy="444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4pt;margin-top:7.35pt;height:0.35pt;width:22.85pt;z-index:251706368;mso-width-relative:page;mso-height-relative:page;" filled="f" stroked="t" coordsize="21600,21600" o:gfxdata="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0OCojRAAAABQEAAA8A&#10;AAAAAAAAAQAgAAAAIgAAAGRycy9kb3ducmV2LnhtbFBLAQIUABQAAAAIAIdO4kCZ/zUv5QEAALQD&#10;AAAOAAAAAAAAAAEAIAAAACABAABkcnMvZTJvRG9jLnhtbFBLBQYAAAAABgAGAFkBAAB3BQAAAAA=&#10;">
                      <v:fill on="f" focussize="0,0"/>
                      <v:stroke weight="2.25pt" color="#000000 [3213]" miterlimit="8" joinstyle="miter"/>
                      <v:imagedata o:title=""/>
                      <o:lock v:ext="edit" aspectratio="f"/>
                    </v:line>
                  </w:pict>
                </mc:Fallback>
              </mc:AlternateConten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u w:val="none"/>
                <w:vertAlign w:val="baseline"/>
                <w:lang w:val="en-US" w:eastAsia="zh-CN"/>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31</w:t>
            </w: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⑥制定奖励机制</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07392" behindDoc="0" locked="0" layoutInCell="1" allowOverlap="1">
                      <wp:simplePos x="0" y="0"/>
                      <wp:positionH relativeFrom="column">
                        <wp:posOffset>-3175</wp:posOffset>
                      </wp:positionH>
                      <wp:positionV relativeFrom="paragraph">
                        <wp:posOffset>90805</wp:posOffset>
                      </wp:positionV>
                      <wp:extent cx="290195" cy="4445"/>
                      <wp:effectExtent l="0" t="0" r="0" b="0"/>
                      <wp:wrapNone/>
                      <wp:docPr id="10" name="直接连接符 10"/>
                      <wp:cNvGraphicFramePr/>
                      <a:graphic xmlns:a="http://schemas.openxmlformats.org/drawingml/2006/main">
                        <a:graphicData uri="http://schemas.microsoft.com/office/word/2010/wordprocessingShape">
                          <wps:wsp>
                            <wps:cNvCnPr/>
                            <wps:spPr>
                              <a:xfrm>
                                <a:off x="0" y="0"/>
                                <a:ext cx="290195" cy="444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25pt;margin-top:7.15pt;height:0.35pt;width:22.85pt;z-index:251707392;mso-width-relative:page;mso-height-relative:page;" filled="f" stroked="t" coordsize="21600,21600" o:gfxdata="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dIDU3TAAAABgEA&#10;AA8AAAAAAAAAAQAgAAAAIgAAAGRycy9kb3ducmV2LnhtbFBLAQIUABQAAAAIAIdO4kCojLAh5gEA&#10;ALYDAAAOAAAAAAAAAAEAIAAAACIBAABkcnMvZTJvRG9jLnhtbFBLBQYAAAAABgAGAFkBAAB6BQAA&#10;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⑦征集无低费方案</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08416" behindDoc="0" locked="0" layoutInCell="1" allowOverlap="1">
                      <wp:simplePos x="0" y="0"/>
                      <wp:positionH relativeFrom="column">
                        <wp:posOffset>10160</wp:posOffset>
                      </wp:positionH>
                      <wp:positionV relativeFrom="paragraph">
                        <wp:posOffset>94615</wp:posOffset>
                      </wp:positionV>
                      <wp:extent cx="975360" cy="635"/>
                      <wp:effectExtent l="0" t="13970" r="15240" b="23495"/>
                      <wp:wrapNone/>
                      <wp:docPr id="11" name="直接连接符 11"/>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pt;margin-top:7.45pt;height:0.05pt;width:76.8pt;z-index:251708416;mso-width-relative:page;mso-height-relative:page;" filled="f" stroked="t" coordsize="21600,21600" o:gfxdata="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k1aSLTAAAABwEA&#10;AA8AAAAAAAAAAQAgAAAAIgAAAGRycy9kb3ducmV2LnhtbFBLAQIUABQAAAAIAIdO4kA63o2X5gEA&#10;ALUDAAAOAAAAAAAAAAEAIAAAACIBAABkcnMvZTJvRG9jLnhtbFBLBQYAAAAABgAGAFkBAAB6BQAA&#10;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⑧方案汇总筛选</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09440" behindDoc="0" locked="0" layoutInCell="1" allowOverlap="1">
                      <wp:simplePos x="0" y="0"/>
                      <wp:positionH relativeFrom="column">
                        <wp:posOffset>22860</wp:posOffset>
                      </wp:positionH>
                      <wp:positionV relativeFrom="paragraph">
                        <wp:posOffset>114300</wp:posOffset>
                      </wp:positionV>
                      <wp:extent cx="975360" cy="635"/>
                      <wp:effectExtent l="0" t="13970" r="15240" b="23495"/>
                      <wp:wrapNone/>
                      <wp:docPr id="12" name="直接连接符 12"/>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pt;margin-top:9pt;height:0.05pt;width:76.8pt;z-index:251709440;mso-width-relative:page;mso-height-relative:page;" filled="f" stroked="t" coordsize="21600,21600" o:gfxdata="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YHJi9QAAAAH&#10;AQAADwAAAAAAAAABACAAAAAiAAAAZHJzL2Rvd25yZXYueG1sUEsBAhQAFAAAAAgAh07iQEBj57fn&#10;AQAAtQMAAA4AAAAAAAAAAQAgAAAAIwEAAGRycy9lMm9Eb2MueG1sUEsFBgAAAAAGAAYAWQEAAHwF&#10;A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预审核</w:t>
            </w: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①组织现状调研</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1488" behindDoc="0" locked="0" layoutInCell="1" allowOverlap="1">
                      <wp:simplePos x="0" y="0"/>
                      <wp:positionH relativeFrom="column">
                        <wp:posOffset>-19685</wp:posOffset>
                      </wp:positionH>
                      <wp:positionV relativeFrom="paragraph">
                        <wp:posOffset>100330</wp:posOffset>
                      </wp:positionV>
                      <wp:extent cx="975360" cy="635"/>
                      <wp:effectExtent l="0" t="13970" r="15240" b="23495"/>
                      <wp:wrapNone/>
                      <wp:docPr id="14" name="直接连接符 14"/>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55pt;margin-top:7.9pt;height:0.05pt;width:76.8pt;z-index:251711488;mso-width-relative:page;mso-height-relative:page;" filled="f" stroked="t" coordsize="21600,21600" o:gfxdata="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PjpT/VAAAA&#10;CAEAAA8AAAAAAAAAAQAgAAAAIgAAAGRycy9kb3ducmV2LnhtbFBLAQIUABQAAAAIAIdO4kC0GTL3&#10;5wEAALUDAAAOAAAAAAAAAAEAIAAAACQBAABkcnMvZTJvRG9jLnhtbFBLBQYAAAAABgAGAFkBAAB9&#10;BQ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②现场考察</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0464" behindDoc="0" locked="0" layoutInCell="1" allowOverlap="1">
                      <wp:simplePos x="0" y="0"/>
                      <wp:positionH relativeFrom="column">
                        <wp:posOffset>-24765</wp:posOffset>
                      </wp:positionH>
                      <wp:positionV relativeFrom="paragraph">
                        <wp:posOffset>95250</wp:posOffset>
                      </wp:positionV>
                      <wp:extent cx="654050" cy="635"/>
                      <wp:effectExtent l="0" t="13970" r="12700" b="23495"/>
                      <wp:wrapNone/>
                      <wp:docPr id="13" name="直接连接符 13"/>
                      <wp:cNvGraphicFramePr/>
                      <a:graphic xmlns:a="http://schemas.openxmlformats.org/drawingml/2006/main">
                        <a:graphicData uri="http://schemas.microsoft.com/office/word/2010/wordprocessingShape">
                          <wps:wsp>
                            <wps:cNvCnPr/>
                            <wps:spPr>
                              <a:xfrm flipV="1">
                                <a:off x="0" y="0"/>
                                <a:ext cx="6540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95pt;margin-top:7.5pt;height:0.05pt;width:51.5pt;z-index:251710464;mso-width-relative:page;mso-height-relative:page;" filled="f" stroked="t" coordsize="21600,21600" o:gfxdata="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Y&#10;R4o51gAAAAcBAAAPAAAAAAAAAAEAIAAAACIAAABkcnMvZG93bnJldi54bWxQSwECFAAUAAAACACH&#10;TuJAVSMOq+0BAAC/AwAADgAAAAAAAAABACAAAAAlAQAAZHJzL2Uyb0RvYy54bWxQSwUGAAAAAAYA&#10;BgBZAQAAhAUAAAAA&#10;">
                      <v:fill on="f" focussize="0,0"/>
                      <v:stroke weight="2.25pt" color="#000000 [3213]" miterlimit="8" joinstyle="miter"/>
                      <v:imagedata o:title=""/>
                      <o:lock v:ext="edit" aspectratio="f"/>
                    </v:line>
                  </w:pict>
                </mc:Fallback>
              </mc:AlternateConten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③评价产污排污状况</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2512" behindDoc="0" locked="0" layoutInCell="1" allowOverlap="1">
                      <wp:simplePos x="0" y="0"/>
                      <wp:positionH relativeFrom="column">
                        <wp:posOffset>-32385</wp:posOffset>
                      </wp:positionH>
                      <wp:positionV relativeFrom="paragraph">
                        <wp:posOffset>97790</wp:posOffset>
                      </wp:positionV>
                      <wp:extent cx="1049655" cy="1270"/>
                      <wp:effectExtent l="0" t="13970" r="17145" b="22860"/>
                      <wp:wrapNone/>
                      <wp:docPr id="15" name="直接连接符 15"/>
                      <wp:cNvGraphicFramePr/>
                      <a:graphic xmlns:a="http://schemas.openxmlformats.org/drawingml/2006/main">
                        <a:graphicData uri="http://schemas.microsoft.com/office/word/2010/wordprocessingShape">
                          <wps:wsp>
                            <wps:cNvCnPr/>
                            <wps:spPr>
                              <a:xfrm flipV="1">
                                <a:off x="0" y="0"/>
                                <a:ext cx="1049655" cy="127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55pt;margin-top:7.7pt;height:0.1pt;width:82.65pt;z-index:251712512;mso-width-relative:page;mso-height-relative:page;" filled="f" stroked="t" coordsize="21600,21600" o:gfxdata="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yJnX9cAAAAIAQAADwAAAAAAAAABACAAAAAiAAAAZHJzL2Rvd25yZXYueG1sUEsBAhQAFAAA&#10;AAgAh07iQGVVPV3wAQAAwQMAAA4AAAAAAAAAAQAgAAAAJgEAAGRycy9lMm9Eb2MueG1sUEsFBgAA&#10;AAAGAAYAWQEAAIgFA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④确定审核重点</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3536" behindDoc="0" locked="0" layoutInCell="1" allowOverlap="1">
                      <wp:simplePos x="0" y="0"/>
                      <wp:positionH relativeFrom="column">
                        <wp:posOffset>-8890</wp:posOffset>
                      </wp:positionH>
                      <wp:positionV relativeFrom="paragraph">
                        <wp:posOffset>92075</wp:posOffset>
                      </wp:positionV>
                      <wp:extent cx="258445" cy="0"/>
                      <wp:effectExtent l="0" t="13970" r="8255" b="24130"/>
                      <wp:wrapNone/>
                      <wp:docPr id="16" name="直接连接符 16"/>
                      <wp:cNvGraphicFramePr/>
                      <a:graphic xmlns:a="http://schemas.openxmlformats.org/drawingml/2006/main">
                        <a:graphicData uri="http://schemas.microsoft.com/office/word/2010/wordprocessingShape">
                          <wps:wsp>
                            <wps:cNvCnPr/>
                            <wps:spPr>
                              <a:xfrm>
                                <a:off x="0" y="0"/>
                                <a:ext cx="25844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7pt;margin-top:7.25pt;height:0pt;width:20.35pt;z-index:251713536;mso-width-relative:page;mso-height-relative:page;" filled="f" stroked="t" coordsize="21600,21600" o:gfxdata="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XEmz0gAAAAcBAAAPAAAA&#10;AAAAAAEAIAAAACIAAABkcnMvZG93bnJldi54bWxQSwECFAAUAAAACACHTuJA4lKgL+IBAACzAwAA&#10;DgAAAAAAAAABACAAAAAhAQAAZHJzL2Uyb0RvYy54bWxQSwUGAAAAAAYABgBZAQAAdQU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⑤设置清洁生产目标</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4560" behindDoc="0" locked="0" layoutInCell="1" allowOverlap="1">
                      <wp:simplePos x="0" y="0"/>
                      <wp:positionH relativeFrom="column">
                        <wp:posOffset>18415</wp:posOffset>
                      </wp:positionH>
                      <wp:positionV relativeFrom="paragraph">
                        <wp:posOffset>101600</wp:posOffset>
                      </wp:positionV>
                      <wp:extent cx="219075" cy="0"/>
                      <wp:effectExtent l="0" t="13970" r="9525" b="24130"/>
                      <wp:wrapNone/>
                      <wp:docPr id="17" name="直接连接符 17"/>
                      <wp:cNvGraphicFramePr/>
                      <a:graphic xmlns:a="http://schemas.openxmlformats.org/drawingml/2006/main">
                        <a:graphicData uri="http://schemas.microsoft.com/office/word/2010/wordprocessingShape">
                          <wps:wsp>
                            <wps:cNvCnPr/>
                            <wps:spPr>
                              <a:xfrm>
                                <a:off x="0" y="0"/>
                                <a:ext cx="21907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5pt;margin-top:8pt;height:0pt;width:17.25pt;z-index:251714560;mso-width-relative:page;mso-height-relative:page;" filled="f" stroked="t" coordsize="21600,21600" o:gfxdata="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bp51NMAAAAGAQAADwAA&#10;AAAAAAABACAAAAAiAAAAZHJzL2Rvd25yZXYueG1sUEsBAhQAFAAAAAgAh07iQNoVR5riAQAAswMA&#10;AA4AAAAAAAAAAQAgAAAAIgEAAGRycy9lMm9Eb2MueG1sUEsFBgAAAAAGAAYAWQEAAHYFA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⑥征集清洁生产无低费方案</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5584" behindDoc="0" locked="0" layoutInCell="1" allowOverlap="1">
                      <wp:simplePos x="0" y="0"/>
                      <wp:positionH relativeFrom="column">
                        <wp:posOffset>1905</wp:posOffset>
                      </wp:positionH>
                      <wp:positionV relativeFrom="paragraph">
                        <wp:posOffset>204470</wp:posOffset>
                      </wp:positionV>
                      <wp:extent cx="975360" cy="635"/>
                      <wp:effectExtent l="0" t="13970" r="15240" b="23495"/>
                      <wp:wrapNone/>
                      <wp:docPr id="18" name="直接连接符 18"/>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16.1pt;height:0.05pt;width:76.8pt;z-index:251715584;mso-width-relative:page;mso-height-relative:page;" filled="f" stroked="t" coordsize="21600,21600" o:gfxdata="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qDhgNQAAAAG&#10;AQAADwAAAAAAAAABACAAAAAiAAAAZHJzL2Rvd25yZXYueG1sUEsBAhQAFAAAAAgAh07iQFzsmHbn&#10;AQAAtQMAAA4AAAAAAAAAAQAgAAAAIwEAAGRycy9lMm9Eb2MueG1sUEsFBgAAAAAGAAYAWQEAAHwF&#10;A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⑦方案汇总筛选、实施</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6608" behindDoc="0" locked="0" layoutInCell="1" allowOverlap="1">
                      <wp:simplePos x="0" y="0"/>
                      <wp:positionH relativeFrom="column">
                        <wp:posOffset>-18415</wp:posOffset>
                      </wp:positionH>
                      <wp:positionV relativeFrom="paragraph">
                        <wp:posOffset>199390</wp:posOffset>
                      </wp:positionV>
                      <wp:extent cx="1789430" cy="1270"/>
                      <wp:effectExtent l="0" t="13970" r="1270" b="22860"/>
                      <wp:wrapNone/>
                      <wp:docPr id="19" name="直接连接符 19"/>
                      <wp:cNvGraphicFramePr/>
                      <a:graphic xmlns:a="http://schemas.openxmlformats.org/drawingml/2006/main">
                        <a:graphicData uri="http://schemas.microsoft.com/office/word/2010/wordprocessingShape">
                          <wps:wsp>
                            <wps:cNvCnPr/>
                            <wps:spPr>
                              <a:xfrm flipV="1">
                                <a:off x="0" y="0"/>
                                <a:ext cx="1789430" cy="127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45pt;margin-top:15.7pt;height:0.1pt;width:140.9pt;z-index:251716608;mso-width-relative:page;mso-height-relative:page;" filled="f" stroked="t" coordsize="21600,21600" o:gfxdata="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OcUlbYAAAACAEAAA8AAAAAAAAAAQAgAAAAIgAAAGRycy9kb3ducmV2LnhtbFBLAQIUABQA&#10;AAAIAIdO4kBnNEBp8AEAAMEDAAAOAAAAAAAAAAEAIAAAACcBAABkcnMvZTJvRG9jLnhtbFBLBQYA&#10;AAAABgAGAFkBAACJBQ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审核</w:t>
            </w: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①收集审核重点资料</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7632" behindDoc="0" locked="0" layoutInCell="1" allowOverlap="1">
                      <wp:simplePos x="0" y="0"/>
                      <wp:positionH relativeFrom="column">
                        <wp:posOffset>10795</wp:posOffset>
                      </wp:positionH>
                      <wp:positionV relativeFrom="paragraph">
                        <wp:posOffset>109220</wp:posOffset>
                      </wp:positionV>
                      <wp:extent cx="975360" cy="635"/>
                      <wp:effectExtent l="0" t="13970" r="15240" b="23495"/>
                      <wp:wrapNone/>
                      <wp:docPr id="20" name="直接连接符 20"/>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5pt;margin-top:8.6pt;height:0.05pt;width:76.8pt;z-index:251717632;mso-width-relative:page;mso-height-relative:page;" filled="f" stroked="t" coordsize="21600,21600" o:gfxdata="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8TdEHTAAAABwEA&#10;AA8AAAAAAAAAAQAgAAAAIgAAAGRycy9kb3ducmV2LnhtbFBLAQIUABQAAAAIAIdO4kBzuKQ45gEA&#10;ALUDAAAOAAAAAAAAAAEAIAAAACIBAABkcnMvZTJvRG9jLnhtbFBLBQYAAAAABgAGAFkBAAB6BQAA&#10;AAA=&#10;">
                      <v:fill on="f" focussize="0,0"/>
                      <v:stroke weight="2.25pt" color="#000000 [3213]" miterlimit="8" joinstyle="miter"/>
                      <v:imagedata o:title=""/>
                      <o:lock v:ext="edit" aspectratio="f"/>
                    </v:line>
                  </w:pict>
                </mc:Fallback>
              </mc:AlternateConten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②确定输入输出</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8656" behindDoc="0" locked="0" layoutInCell="1" allowOverlap="1">
                      <wp:simplePos x="0" y="0"/>
                      <wp:positionH relativeFrom="column">
                        <wp:posOffset>-10795</wp:posOffset>
                      </wp:positionH>
                      <wp:positionV relativeFrom="paragraph">
                        <wp:posOffset>213360</wp:posOffset>
                      </wp:positionV>
                      <wp:extent cx="447675" cy="635"/>
                      <wp:effectExtent l="0" t="13970" r="9525" b="23495"/>
                      <wp:wrapNone/>
                      <wp:docPr id="21" name="直接连接符 21"/>
                      <wp:cNvGraphicFramePr/>
                      <a:graphic xmlns:a="http://schemas.openxmlformats.org/drawingml/2006/main">
                        <a:graphicData uri="http://schemas.microsoft.com/office/word/2010/wordprocessingShape">
                          <wps:wsp>
                            <wps:cNvCnPr/>
                            <wps:spPr>
                              <a:xfrm flipV="1">
                                <a:off x="0" y="0"/>
                                <a:ext cx="447675"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85pt;margin-top:16.8pt;height:0.05pt;width:35.25pt;z-index:251718656;mso-width-relative:page;mso-height-relative:page;" filled="f" stroked="t" coordsize="21600,21600" o:gfxdata="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e&#10;dHOi1gAAAAcBAAAPAAAAAAAAAAEAIAAAACIAAABkcnMvZG93bnJldi54bWxQSwECFAAUAAAACACH&#10;TuJAN7YRxO0BAAC/AwAADgAAAAAAAAABACAAAAAlAQAAZHJzL2Uyb0RvYy54bWxQSwUGAAAAAAYA&#10;BgBZAQAAhAUAAAAA&#10;">
                      <v:fill on="f" focussize="0,0"/>
                      <v:stroke weight="2.25pt" color="#000000 [3213]" miterlimit="8" joinstyle="miter"/>
                      <v:imagedata o:title=""/>
                      <o:lock v:ext="edit" aspectratio="f"/>
                    </v:line>
                  </w:pict>
                </mc:Fallback>
              </mc:AlternateConten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31</w:t>
            </w: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③制定实测计划</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19680" behindDoc="0" locked="0" layoutInCell="1" allowOverlap="1">
                      <wp:simplePos x="0" y="0"/>
                      <wp:positionH relativeFrom="column">
                        <wp:posOffset>-16510</wp:posOffset>
                      </wp:positionH>
                      <wp:positionV relativeFrom="paragraph">
                        <wp:posOffset>199390</wp:posOffset>
                      </wp:positionV>
                      <wp:extent cx="802640" cy="635"/>
                      <wp:effectExtent l="0" t="13970" r="16510" b="23495"/>
                      <wp:wrapNone/>
                      <wp:docPr id="22" name="直接连接符 22"/>
                      <wp:cNvGraphicFramePr/>
                      <a:graphic xmlns:a="http://schemas.openxmlformats.org/drawingml/2006/main">
                        <a:graphicData uri="http://schemas.microsoft.com/office/word/2010/wordprocessingShape">
                          <wps:wsp>
                            <wps:cNvCnPr/>
                            <wps:spPr>
                              <a:xfrm>
                                <a:off x="0" y="0"/>
                                <a:ext cx="80264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3pt;margin-top:15.7pt;height:0.05pt;width:63.2pt;z-index:251719680;mso-width-relative:page;mso-height-relative:page;" filled="f" stroked="t" coordsize="21600,21600" o:gfxdata="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VXI/29UAAAAI&#10;AQAADwAAAAAAAAABACAAAAAiAAAAZHJzL2Rvd25yZXYueG1sUEsBAhQAFAAAAAgAh07iQE+j1SXm&#10;AQAAtQMAAA4AAAAAAAAAAQAgAAAAJAEAAGRycy9lMm9Eb2MueG1sUEsFBgAAAAAGAAYAWQEAAHwF&#10;A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④实测</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0704" behindDoc="0" locked="0" layoutInCell="1" allowOverlap="1">
                      <wp:simplePos x="0" y="0"/>
                      <wp:positionH relativeFrom="column">
                        <wp:posOffset>7620</wp:posOffset>
                      </wp:positionH>
                      <wp:positionV relativeFrom="paragraph">
                        <wp:posOffset>199390</wp:posOffset>
                      </wp:positionV>
                      <wp:extent cx="491490" cy="635"/>
                      <wp:effectExtent l="0" t="13970" r="3810" b="23495"/>
                      <wp:wrapNone/>
                      <wp:docPr id="23" name="直接连接符 23"/>
                      <wp:cNvGraphicFramePr/>
                      <a:graphic xmlns:a="http://schemas.openxmlformats.org/drawingml/2006/main">
                        <a:graphicData uri="http://schemas.microsoft.com/office/word/2010/wordprocessingShape">
                          <wps:wsp>
                            <wps:cNvCnPr/>
                            <wps:spPr>
                              <a:xfrm flipV="1">
                                <a:off x="0" y="0"/>
                                <a:ext cx="49149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6pt;margin-top:15.7pt;height:0.05pt;width:38.7pt;z-index:251720704;mso-width-relative:page;mso-height-relative:page;" filled="f" stroked="t" coordsize="21600,21600" o:gfxdata="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X&#10;aqtX1QAAAAYBAAAPAAAAAAAAAAEAIAAAACIAAABkcnMvZG93bnJldi54bWxQSwECFAAUAAAACACH&#10;TuJAwSZEi+4BAAC/AwAADgAAAAAAAAABACAAAAAkAQAAZHJzL2Uyb0RvYy54bWxQSwUGAAAAAAYA&#10;BgBZAQAAhAU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⑤实测结果分析汇总</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1728" behindDoc="0" locked="0" layoutInCell="1" allowOverlap="1">
                      <wp:simplePos x="0" y="0"/>
                      <wp:positionH relativeFrom="column">
                        <wp:posOffset>-21590</wp:posOffset>
                      </wp:positionH>
                      <wp:positionV relativeFrom="paragraph">
                        <wp:posOffset>99060</wp:posOffset>
                      </wp:positionV>
                      <wp:extent cx="292735" cy="0"/>
                      <wp:effectExtent l="0" t="13970" r="12065" b="24130"/>
                      <wp:wrapNone/>
                      <wp:docPr id="24" name="直接连接符 24"/>
                      <wp:cNvGraphicFramePr/>
                      <a:graphic xmlns:a="http://schemas.openxmlformats.org/drawingml/2006/main">
                        <a:graphicData uri="http://schemas.microsoft.com/office/word/2010/wordprocessingShape">
                          <wps:wsp>
                            <wps:cNvCnPr/>
                            <wps:spPr>
                              <a:xfrm>
                                <a:off x="0" y="0"/>
                                <a:ext cx="29273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pt;margin-top:7.8pt;height:0pt;width:23.05pt;z-index:251721728;mso-width-relative:page;mso-height-relative:page;" filled="f" stroked="t" coordsize="21600,21600" o:gfxdata="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bdo9IAAAAHAQAADwAA&#10;AAAAAAABACAAAAAiAAAAZHJzL2Rvd25yZXYueG1sUEsBAhQAFAAAAAgAh07iQJ/wIpzjAQAAswMA&#10;AA4AAAAAAAAAAQAgAAAAIQEAAGRycy9lMm9Eb2MueG1sUEsFBgAAAAAGAAYAWQEAAHYFA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 xml:space="preserve">⑥建立物料平衡 </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2752" behindDoc="0" locked="0" layoutInCell="1" allowOverlap="1">
                      <wp:simplePos x="0" y="0"/>
                      <wp:positionH relativeFrom="column">
                        <wp:posOffset>-22860</wp:posOffset>
                      </wp:positionH>
                      <wp:positionV relativeFrom="paragraph">
                        <wp:posOffset>203835</wp:posOffset>
                      </wp:positionV>
                      <wp:extent cx="666750" cy="0"/>
                      <wp:effectExtent l="0" t="13970" r="0" b="24130"/>
                      <wp:wrapNone/>
                      <wp:docPr id="26" name="直接连接符 26"/>
                      <wp:cNvGraphicFramePr/>
                      <a:graphic xmlns:a="http://schemas.openxmlformats.org/drawingml/2006/main">
                        <a:graphicData uri="http://schemas.microsoft.com/office/word/2010/wordprocessingShape">
                          <wps:wsp>
                            <wps:cNvCnPr/>
                            <wps:spPr>
                              <a:xfrm>
                                <a:off x="0" y="0"/>
                                <a:ext cx="66675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pt;margin-top:16.05pt;height:0pt;width:52.5pt;z-index:251722752;mso-width-relative:page;mso-height-relative:page;" filled="f" stroked="t" coordsize="21600,21600" o:gfxdata="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7lyOr9UAAAAIAQAA&#10;DwAAAAAAAAABACAAAAAiAAAAZHJzL2Rvd25yZXYueG1sUEsBAhQAFAAAAAgAh07iQP5F3k3jAQAA&#10;swMAAA4AAAAAAAAAAQAgAAAAJAEAAGRycy9lMm9Eb2MueG1sUEsFBgAAAAAGAAYAWQEAAHkFAAAA&#10;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⑦废物产生原因分析</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3776" behindDoc="0" locked="0" layoutInCell="1" allowOverlap="1">
                      <wp:simplePos x="0" y="0"/>
                      <wp:positionH relativeFrom="column">
                        <wp:posOffset>-39370</wp:posOffset>
                      </wp:positionH>
                      <wp:positionV relativeFrom="paragraph">
                        <wp:posOffset>212090</wp:posOffset>
                      </wp:positionV>
                      <wp:extent cx="641985" cy="0"/>
                      <wp:effectExtent l="0" t="13970" r="5715" b="24130"/>
                      <wp:wrapNone/>
                      <wp:docPr id="27" name="直接连接符 27"/>
                      <wp:cNvGraphicFramePr/>
                      <a:graphic xmlns:a="http://schemas.openxmlformats.org/drawingml/2006/main">
                        <a:graphicData uri="http://schemas.microsoft.com/office/word/2010/wordprocessingShape">
                          <wps:wsp>
                            <wps:cNvCnPr/>
                            <wps:spPr>
                              <a:xfrm>
                                <a:off x="0" y="0"/>
                                <a:ext cx="64198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1pt;margin-top:16.7pt;height:0pt;width:50.55pt;z-index:251723776;mso-width-relative:page;mso-height-relative:page;" filled="f" stroked="t" coordsize="21600,21600" o:gfxdata="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BiNHK1AAAAAcBAAAP&#10;AAAAAAAAAAEAIAAAACIAAABkcnMvZG93bnJldi54bWxQSwECFAAUAAAACACHTuJAyuLDquMBAACz&#10;AwAADgAAAAAAAAABACAAAAAjAQAAZHJzL2Uyb0RvYy54bWxQSwUGAAAAAAYABgBZAQAAeAU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⑧征集清洁生产方案</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4800" behindDoc="0" locked="0" layoutInCell="1" allowOverlap="1">
                      <wp:simplePos x="0" y="0"/>
                      <wp:positionH relativeFrom="column">
                        <wp:posOffset>8255</wp:posOffset>
                      </wp:positionH>
                      <wp:positionV relativeFrom="paragraph">
                        <wp:posOffset>112395</wp:posOffset>
                      </wp:positionV>
                      <wp:extent cx="1830705" cy="0"/>
                      <wp:effectExtent l="0" t="13970" r="17145" b="24130"/>
                      <wp:wrapNone/>
                      <wp:docPr id="28" name="直接连接符 28"/>
                      <wp:cNvGraphicFramePr/>
                      <a:graphic xmlns:a="http://schemas.openxmlformats.org/drawingml/2006/main">
                        <a:graphicData uri="http://schemas.microsoft.com/office/word/2010/wordprocessingShape">
                          <wps:wsp>
                            <wps:cNvCnPr/>
                            <wps:spPr>
                              <a:xfrm>
                                <a:off x="0" y="0"/>
                                <a:ext cx="183070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5pt;margin-top:8.85pt;height:0pt;width:144.15pt;z-index:251724800;mso-width-relative:page;mso-height-relative:page;" filled="f" stroked="t" coordsize="21600,21600" o:gfxdata="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BEPXfTAAAABwEAAA8A&#10;AAAAAAAAAQAgAAAAIgAAAGRycy9kb3ducmV2LnhtbFBLAQIUABQAAAAIAIdO4kCRCLUq4wEAALQD&#10;AAAOAAAAAAAAAAEAIAAAACIBAABkcnMvZTJvRG9jLnhtbFBLBQYAAAAABgAGAFkBAAB3BQ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方案产生与筛</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选</w:t>
            </w: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①汇总筛选方案</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5824" behindDoc="0" locked="0" layoutInCell="1" allowOverlap="1">
                      <wp:simplePos x="0" y="0"/>
                      <wp:positionH relativeFrom="column">
                        <wp:posOffset>69215</wp:posOffset>
                      </wp:positionH>
                      <wp:positionV relativeFrom="paragraph">
                        <wp:posOffset>107950</wp:posOffset>
                      </wp:positionV>
                      <wp:extent cx="1565275" cy="6985"/>
                      <wp:effectExtent l="0" t="0" r="0" b="0"/>
                      <wp:wrapNone/>
                      <wp:docPr id="29" name="直接连接符 29"/>
                      <wp:cNvGraphicFramePr/>
                      <a:graphic xmlns:a="http://schemas.openxmlformats.org/drawingml/2006/main">
                        <a:graphicData uri="http://schemas.microsoft.com/office/word/2010/wordprocessingShape">
                          <wps:wsp>
                            <wps:cNvCnPr/>
                            <wps:spPr>
                              <a:xfrm>
                                <a:off x="0" y="0"/>
                                <a:ext cx="1565275" cy="698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45pt;margin-top:8.5pt;height:0.55pt;width:123.25pt;z-index:251725824;mso-width-relative:page;mso-height-relative:page;" filled="f" stroked="t" coordsize="21600,21600" o:gfxdata="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dw8fTNQAAAAI&#10;AQAADwAAAAAAAAABACAAAAAiAAAAZHJzL2Rvd25yZXYueG1sUEsBAhQAFAAAAAgAh07iQOZM1JHn&#10;AQAAtwMAAA4AAAAAAAAAAQAgAAAAIwEAAGRycy9lMm9Eb2MueG1sUEsFBgAAAAAGAAYAWQEAAHwF&#10;AAAAAA==&#10;">
                      <v:fill on="f" focussize="0,0"/>
                      <v:stroke weight="2.25pt" color="#000000 [3213]" miterlimit="8" joinstyle="miter"/>
                      <v:imagedata o:title=""/>
                      <o:lock v:ext="edit" aspectratio="f"/>
                    </v:line>
                  </w:pict>
                </mc:Fallback>
              </mc:AlternateConten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②研制方案</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6848" behindDoc="0" locked="0" layoutInCell="1" allowOverlap="1">
                      <wp:simplePos x="0" y="0"/>
                      <wp:positionH relativeFrom="column">
                        <wp:posOffset>45720</wp:posOffset>
                      </wp:positionH>
                      <wp:positionV relativeFrom="paragraph">
                        <wp:posOffset>109855</wp:posOffset>
                      </wp:positionV>
                      <wp:extent cx="647700" cy="0"/>
                      <wp:effectExtent l="0" t="13970" r="0" b="24130"/>
                      <wp:wrapNone/>
                      <wp:docPr id="30" name="直接连接符 30"/>
                      <wp:cNvGraphicFramePr/>
                      <a:graphic xmlns:a="http://schemas.openxmlformats.org/drawingml/2006/main">
                        <a:graphicData uri="http://schemas.microsoft.com/office/word/2010/wordprocessingShape">
                          <wps:wsp>
                            <wps:cNvCnPr/>
                            <wps:spPr>
                              <a:xfrm>
                                <a:off x="0" y="0"/>
                                <a:ext cx="64770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6pt;margin-top:8.65pt;height:0pt;width:51pt;z-index:251726848;mso-width-relative:page;mso-height-relative:page;" filled="f" stroked="t" coordsize="21600,21600" o:gfxdata="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ol+HeNIAAAAHAQAADwAA&#10;AAAAAAABACAAAAAiAAAAZHJzL2Rvd25yZXYueG1sUEsBAhQAFAAAAAgAh07iQOuGZZTjAQAAswMA&#10;AA4AAAAAAAAAAQAgAAAAIQEAAGRycy9lMm9Eb2MueG1sUEsFBgAAAAAGAAYAWQEAAHYFA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③继续实施无低费方案</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7872" behindDoc="0" locked="0" layoutInCell="1" allowOverlap="1">
                      <wp:simplePos x="0" y="0"/>
                      <wp:positionH relativeFrom="column">
                        <wp:posOffset>-33655</wp:posOffset>
                      </wp:positionH>
                      <wp:positionV relativeFrom="paragraph">
                        <wp:posOffset>219710</wp:posOffset>
                      </wp:positionV>
                      <wp:extent cx="2019935" cy="0"/>
                      <wp:effectExtent l="0" t="13970" r="18415" b="24130"/>
                      <wp:wrapNone/>
                      <wp:docPr id="31" name="直接连接符 31"/>
                      <wp:cNvGraphicFramePr/>
                      <a:graphic xmlns:a="http://schemas.openxmlformats.org/drawingml/2006/main">
                        <a:graphicData uri="http://schemas.microsoft.com/office/word/2010/wordprocessingShape">
                          <wps:wsp>
                            <wps:cNvCnPr/>
                            <wps:spPr>
                              <a:xfrm>
                                <a:off x="0" y="0"/>
                                <a:ext cx="201993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65pt;margin-top:17.3pt;height:0pt;width:159.05pt;z-index:251727872;mso-width-relative:page;mso-height-relative:page;" filled="f" stroked="t" coordsize="21600,21600" o:gfxdata="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xZYkztUAAAAIAQAA&#10;DwAAAAAAAAABACAAAAAiAAAAZHJzL2Rvd25yZXYueG1sUEsBAhQAFAAAAAgAh07iQL9CVb3jAQAA&#10;tAMAAA4AAAAAAAAAAQAgAAAAJAEAAGRycy9lMm9Eb2MueG1sUEsFBgAAAAAGAAYAWQEAAHkFAAAA&#10;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④核定并汇总无低费方案实施效果</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8896" behindDoc="0" locked="0" layoutInCell="1" allowOverlap="1">
                      <wp:simplePos x="0" y="0"/>
                      <wp:positionH relativeFrom="column">
                        <wp:posOffset>-10160</wp:posOffset>
                      </wp:positionH>
                      <wp:positionV relativeFrom="paragraph">
                        <wp:posOffset>175895</wp:posOffset>
                      </wp:positionV>
                      <wp:extent cx="2581275" cy="10795"/>
                      <wp:effectExtent l="0" t="13970" r="9525" b="32385"/>
                      <wp:wrapNone/>
                      <wp:docPr id="32" name="直接连接符 32"/>
                      <wp:cNvGraphicFramePr/>
                      <a:graphic xmlns:a="http://schemas.openxmlformats.org/drawingml/2006/main">
                        <a:graphicData uri="http://schemas.microsoft.com/office/word/2010/wordprocessingShape">
                          <wps:wsp>
                            <wps:cNvCnPr/>
                            <wps:spPr>
                              <a:xfrm>
                                <a:off x="0" y="0"/>
                                <a:ext cx="2581275" cy="1079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pt;margin-top:13.85pt;height:0.85pt;width:203.25pt;z-index:251728896;mso-width-relative:page;mso-height-relative:page;" filled="f" stroked="t" coordsize="21600,21600" o:gfxdata="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aFNQN1gAA&#10;AAgBAAAPAAAAAAAAAAEAIAAAACIAAABkcnMvZG93bnJldi54bWxQSwECFAAUAAAACACHTuJANVw0&#10;N+cBAAC4AwAADgAAAAAAAAABACAAAAAlAQAAZHJzL2Uyb0RvYy54bWxQSwUGAAAAAAYABgBZAQAA&#10;fgU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可行性分析</w:t>
            </w: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31</w:t>
            </w: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①市场调研</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01248" behindDoc="0" locked="0" layoutInCell="1" allowOverlap="1">
                      <wp:simplePos x="0" y="0"/>
                      <wp:positionH relativeFrom="column">
                        <wp:posOffset>76200</wp:posOffset>
                      </wp:positionH>
                      <wp:positionV relativeFrom="paragraph">
                        <wp:posOffset>92075</wp:posOffset>
                      </wp:positionV>
                      <wp:extent cx="1898650" cy="11430"/>
                      <wp:effectExtent l="0" t="13970" r="6350" b="31750"/>
                      <wp:wrapNone/>
                      <wp:docPr id="37" name="直接连接符 37"/>
                      <wp:cNvGraphicFramePr/>
                      <a:graphic xmlns:a="http://schemas.openxmlformats.org/drawingml/2006/main">
                        <a:graphicData uri="http://schemas.microsoft.com/office/word/2010/wordprocessingShape">
                          <wps:wsp>
                            <wps:cNvCnPr/>
                            <wps:spPr>
                              <a:xfrm flipV="1">
                                <a:off x="0" y="0"/>
                                <a:ext cx="1898650" cy="1143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6pt;margin-top:7.25pt;height:0.9pt;width:149.5pt;z-index:251701248;mso-width-relative:page;mso-height-relative:page;" filled="f" stroked="t" coordsize="21600,21600" o:gfxdata="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40EKG1gAAAAgBAAAPAAAAAAAAAAEAIAAAACIAAABkcnMvZG93bnJldi54bWxQSwECFAAU&#10;AAAACACHTuJAISrsf/MBAADCAwAADgAAAAAAAAABACAAAAAlAQAAZHJzL2Uyb0RvYy54bWxQSwUG&#10;AAAAAAYABgBZAQAAigU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②对中高费方案进行可行性分析</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00224" behindDoc="0" locked="0" layoutInCell="1" allowOverlap="1">
                      <wp:simplePos x="0" y="0"/>
                      <wp:positionH relativeFrom="column">
                        <wp:posOffset>36195</wp:posOffset>
                      </wp:positionH>
                      <wp:positionV relativeFrom="paragraph">
                        <wp:posOffset>176530</wp:posOffset>
                      </wp:positionV>
                      <wp:extent cx="1029970" cy="0"/>
                      <wp:effectExtent l="0" t="13970" r="17780" b="24130"/>
                      <wp:wrapNone/>
                      <wp:docPr id="38" name="直接连接符 38"/>
                      <wp:cNvGraphicFramePr/>
                      <a:graphic xmlns:a="http://schemas.openxmlformats.org/drawingml/2006/main">
                        <a:graphicData uri="http://schemas.microsoft.com/office/word/2010/wordprocessingShape">
                          <wps:wsp>
                            <wps:cNvCnPr/>
                            <wps:spPr>
                              <a:xfrm>
                                <a:off x="0" y="0"/>
                                <a:ext cx="102997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85pt;margin-top:13.9pt;height:0pt;width:81.1pt;z-index:251700224;mso-width-relative:page;mso-height-relative:page;" filled="f" stroked="t" coordsize="21600,21600" o:gfxdata="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fzncG0wAAAAcBAAAP&#10;AAAAAAAAAAEAIAAAACIAAABkcnMvZG93bnJldi54bWxQSwECFAAUAAAACACHTuJA36pRm+QBAAC0&#10;AwAADgAAAAAAAAABACAAAAAiAQAAZHJzL2Uyb0RvYy54bWxQSwUGAAAAAAYABgBZAQAAeAU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③推荐可实施的清洁生产方案</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699200" behindDoc="0" locked="0" layoutInCell="1" allowOverlap="1">
                      <wp:simplePos x="0" y="0"/>
                      <wp:positionH relativeFrom="column">
                        <wp:posOffset>-20955</wp:posOffset>
                      </wp:positionH>
                      <wp:positionV relativeFrom="paragraph">
                        <wp:posOffset>209550</wp:posOffset>
                      </wp:positionV>
                      <wp:extent cx="654050" cy="635"/>
                      <wp:effectExtent l="0" t="13970" r="12700" b="23495"/>
                      <wp:wrapNone/>
                      <wp:docPr id="39" name="直接连接符 39"/>
                      <wp:cNvGraphicFramePr/>
                      <a:graphic xmlns:a="http://schemas.openxmlformats.org/drawingml/2006/main">
                        <a:graphicData uri="http://schemas.microsoft.com/office/word/2010/wordprocessingShape">
                          <wps:wsp>
                            <wps:cNvCnPr/>
                            <wps:spPr>
                              <a:xfrm flipV="1">
                                <a:off x="0" y="0"/>
                                <a:ext cx="6540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65pt;margin-top:16.5pt;height:0.05pt;width:51.5pt;z-index:251699200;mso-width-relative:page;mso-height-relative:page;" filled="f" stroked="t" coordsize="21600,21600" o:gfxdata="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QlOLdYAAAAHAQAADwAAAAAAAAABACAAAAAiAAAAZHJzL2Rvd25yZXYueG1sUEsBAhQAFAAAAAgA&#10;h07iQLInQVXuAQAAvwMAAA4AAAAAAAAAAQAgAAAAJQEAAGRycy9lMm9Eb2MueG1sUEsFBgAAAAAG&#10;AAYAWQEAAIUFA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方案实施</w:t>
            </w: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①制定方案实施计划</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698176" behindDoc="0" locked="0" layoutInCell="1" allowOverlap="1">
                      <wp:simplePos x="0" y="0"/>
                      <wp:positionH relativeFrom="column">
                        <wp:posOffset>-635</wp:posOffset>
                      </wp:positionH>
                      <wp:positionV relativeFrom="paragraph">
                        <wp:posOffset>110490</wp:posOffset>
                      </wp:positionV>
                      <wp:extent cx="654050" cy="635"/>
                      <wp:effectExtent l="0" t="13970" r="12700" b="23495"/>
                      <wp:wrapNone/>
                      <wp:docPr id="40" name="直接连接符 40"/>
                      <wp:cNvGraphicFramePr/>
                      <a:graphic xmlns:a="http://schemas.openxmlformats.org/drawingml/2006/main">
                        <a:graphicData uri="http://schemas.microsoft.com/office/word/2010/wordprocessingShape">
                          <wps:wsp>
                            <wps:cNvCnPr/>
                            <wps:spPr>
                              <a:xfrm flipV="1">
                                <a:off x="0" y="0"/>
                                <a:ext cx="6540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05pt;margin-top:8.7pt;height:0.05pt;width:51.5pt;z-index:251698176;mso-width-relative:page;mso-height-relative:page;" filled="f" stroked="t" coordsize="21600,21600" o:gfxdata="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WV&#10;geDUAAAABwEAAA8AAAAAAAAAAQAgAAAAIgAAAGRycy9kb3ducmV2LnhtbFBLAQIUABQAAAAIAIdO&#10;4kCXMBqF7gEAAL8DAAAOAAAAAAAAAAEAIAAAACMBAABkcnMvZTJvRG9jLnhtbFBLBQYAAAAABgAG&#10;AFkBAACDBQ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②组织方案实施</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698176" behindDoc="0" locked="0" layoutInCell="1" allowOverlap="1">
                      <wp:simplePos x="0" y="0"/>
                      <wp:positionH relativeFrom="column">
                        <wp:posOffset>42545</wp:posOffset>
                      </wp:positionH>
                      <wp:positionV relativeFrom="paragraph">
                        <wp:posOffset>196850</wp:posOffset>
                      </wp:positionV>
                      <wp:extent cx="1814830" cy="3810"/>
                      <wp:effectExtent l="0" t="0" r="0" b="0"/>
                      <wp:wrapNone/>
                      <wp:docPr id="41" name="直接连接符 41"/>
                      <wp:cNvGraphicFramePr/>
                      <a:graphic xmlns:a="http://schemas.openxmlformats.org/drawingml/2006/main">
                        <a:graphicData uri="http://schemas.microsoft.com/office/word/2010/wordprocessingShape">
                          <wps:wsp>
                            <wps:cNvCnPr/>
                            <wps:spPr>
                              <a:xfrm flipV="1">
                                <a:off x="0" y="0"/>
                                <a:ext cx="1814830" cy="381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35pt;margin-top:15.5pt;height:0.3pt;width:142.9pt;z-index:251698176;mso-width-relative:page;mso-height-relative:page;" filled="f" stroked="t" coordsize="21600,21600" o:gfxdata="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fNaqPXAAAABwEAAA8AAAAAAAAAAQAgAAAAIgAAAGRycy9kb3ducmV2LnhtbFBLAQIUABQA&#10;AAAIAIdO4kC5QXAn8QEAAMEDAAAOAAAAAAAAAAEAIAAAACYBAABkcnMvZTJvRG9jLnhtbFBLBQYA&#10;AAAABgAGAFkBAACJBQAA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②组织方案实施</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29920" behindDoc="0" locked="0" layoutInCell="1" allowOverlap="1">
                      <wp:simplePos x="0" y="0"/>
                      <wp:positionH relativeFrom="column">
                        <wp:posOffset>118745</wp:posOffset>
                      </wp:positionH>
                      <wp:positionV relativeFrom="paragraph">
                        <wp:posOffset>196850</wp:posOffset>
                      </wp:positionV>
                      <wp:extent cx="5238750" cy="3810"/>
                      <wp:effectExtent l="0" t="0" r="0" b="0"/>
                      <wp:wrapNone/>
                      <wp:docPr id="149" name="直接连接符 149"/>
                      <wp:cNvGraphicFramePr/>
                      <a:graphic xmlns:a="http://schemas.openxmlformats.org/drawingml/2006/main">
                        <a:graphicData uri="http://schemas.microsoft.com/office/word/2010/wordprocessingShape">
                          <wps:wsp>
                            <wps:cNvCnPr/>
                            <wps:spPr>
                              <a:xfrm flipV="1">
                                <a:off x="0" y="0"/>
                                <a:ext cx="5238750" cy="381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9.35pt;margin-top:15.5pt;height:0.3pt;width:412.5pt;z-index:251729920;mso-width-relative:page;mso-height-relative:page;" filled="f" stroked="t" coordsize="21600,21600" o:gfxdata="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tYyPHTAAAACAEAAA8AAAAAAAAAAQAgAAAAIgAAAGRycy9kb3ducmV2LnhtbFBLAQIUABQAAAAI&#10;AIdO4kB8s1U18gEAAMMDAAAOAAAAAAAAAAEAIAAAACIBAABkcnMvZTJvRG9jLnhtbFBLBQYAAAAA&#10;BgAGAFkBAACGBQ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3"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12.1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31</w:t>
            </w: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②组织方案实施</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30944" behindDoc="0" locked="0" layoutInCell="1" allowOverlap="1">
                      <wp:simplePos x="0" y="0"/>
                      <wp:positionH relativeFrom="column">
                        <wp:posOffset>138430</wp:posOffset>
                      </wp:positionH>
                      <wp:positionV relativeFrom="paragraph">
                        <wp:posOffset>222250</wp:posOffset>
                      </wp:positionV>
                      <wp:extent cx="5026660" cy="635"/>
                      <wp:effectExtent l="0" t="13970" r="2540" b="23495"/>
                      <wp:wrapNone/>
                      <wp:docPr id="150" name="直接连接符 150"/>
                      <wp:cNvGraphicFramePr/>
                      <a:graphic xmlns:a="http://schemas.openxmlformats.org/drawingml/2006/main">
                        <a:graphicData uri="http://schemas.microsoft.com/office/word/2010/wordprocessingShape">
                          <wps:wsp>
                            <wps:cNvCnPr/>
                            <wps:spPr>
                              <a:xfrm>
                                <a:off x="0" y="0"/>
                                <a:ext cx="50266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0.9pt;margin-top:17.5pt;height:0.05pt;width:395.8pt;z-index:251730944;mso-width-relative:page;mso-height-relative:page;" filled="f" stroked="t" coordsize="21600,21600" o:gfxdata="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yL5Ec1gAA&#10;AAgBAAAPAAAAAAAAAAEAIAAAACIAAABkcnMvZG93bnJldi54bWxQSwECFAAUAAAACACHTuJA91W5&#10;uecBAAC4AwAADgAAAAAAAAABACAAAAAlAQAAZHJzL2Uyb0RvYy54bWxQSwUGAAAAAAYABgBZAQAA&#10;fgU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③汇总已实施无低费方案效果</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31968" behindDoc="0" locked="0" layoutInCell="1" allowOverlap="1">
                      <wp:simplePos x="0" y="0"/>
                      <wp:positionH relativeFrom="column">
                        <wp:posOffset>16510</wp:posOffset>
                      </wp:positionH>
                      <wp:positionV relativeFrom="paragraph">
                        <wp:posOffset>176530</wp:posOffset>
                      </wp:positionV>
                      <wp:extent cx="373380" cy="0"/>
                      <wp:effectExtent l="0" t="13970" r="7620" b="24130"/>
                      <wp:wrapNone/>
                      <wp:docPr id="151" name="直接连接符 151"/>
                      <wp:cNvGraphicFramePr/>
                      <a:graphic xmlns:a="http://schemas.openxmlformats.org/drawingml/2006/main">
                        <a:graphicData uri="http://schemas.microsoft.com/office/word/2010/wordprocessingShape">
                          <wps:wsp>
                            <wps:cNvCnPr/>
                            <wps:spPr>
                              <a:xfrm>
                                <a:off x="0" y="0"/>
                                <a:ext cx="37338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3pt;margin-top:13.9pt;height:0pt;width:29.4pt;z-index:251731968;mso-width-relative:page;mso-height-relative:page;" filled="f" stroked="t" coordsize="21600,21600" o:gfxdata="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1mias0wAAAAYBAAAP&#10;AAAAAAAAAAEAIAAAACIAAABkcnMvZG93bnJldi54bWxQSwECFAAUAAAACACHTuJAMsdOc+QBAAC1&#10;AwAADgAAAAAAAAABACAAAAAiAQAAZHJzL2Uyb0RvYy54bWxQSwUGAAAAAAYABgBZAQAAeAUAAAAA&#10;">
                      <v:fill on="f" focussize="0,0"/>
                      <v:stroke weight="2.25pt" color="#000000 [3213]" miterlimit="8" joinstyle="miter"/>
                      <v:imagedata o:title=""/>
                      <o:lock v:ext="edit" aspectratio="f"/>
                    </v:line>
                  </w:pict>
                </mc:Fallback>
              </mc:AlternateConten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right"/>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2022</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1.1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31</w:t>
            </w: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8"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④验证已实施的中高费方案的成果</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732992" behindDoc="0" locked="0" layoutInCell="1" allowOverlap="1">
                      <wp:simplePos x="0" y="0"/>
                      <wp:positionH relativeFrom="column">
                        <wp:posOffset>124460</wp:posOffset>
                      </wp:positionH>
                      <wp:positionV relativeFrom="paragraph">
                        <wp:posOffset>184785</wp:posOffset>
                      </wp:positionV>
                      <wp:extent cx="5386705" cy="0"/>
                      <wp:effectExtent l="0" t="13970" r="4445" b="24130"/>
                      <wp:wrapNone/>
                      <wp:docPr id="152" name="直接连接符 152"/>
                      <wp:cNvGraphicFramePr/>
                      <a:graphic xmlns:a="http://schemas.openxmlformats.org/drawingml/2006/main">
                        <a:graphicData uri="http://schemas.microsoft.com/office/word/2010/wordprocessingShape">
                          <wps:wsp>
                            <wps:cNvCnPr/>
                            <wps:spPr>
                              <a:xfrm>
                                <a:off x="0" y="0"/>
                                <a:ext cx="538670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9.8pt;margin-top:14.55pt;height:0pt;width:424.15pt;z-index:251732992;mso-width-relative:page;mso-height-relative:page;" filled="f" stroked="t" coordsize="21600,21600" o:gfxdata="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mx8inUAAAACAEA&#10;AA8AAAAAAAAAAQAgAAAAIgAAAGRycy9kb3ducmV2LnhtbFBLAQIUABQAAAAIAIdO4kDrqUkS5QEA&#10;ALYDAAAOAAAAAAAAAAEAIAAAACMBAABkcnMvZTJvRG9jLnhtbFBLBQYAAAAABgAGAFkBAAB6BQAA&#10;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2.1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④验证已实施的中高费方案的成果</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699200" behindDoc="0" locked="0" layoutInCell="1" allowOverlap="1">
                      <wp:simplePos x="0" y="0"/>
                      <wp:positionH relativeFrom="column">
                        <wp:posOffset>68580</wp:posOffset>
                      </wp:positionH>
                      <wp:positionV relativeFrom="paragraph">
                        <wp:posOffset>5080</wp:posOffset>
                      </wp:positionV>
                      <wp:extent cx="4895215" cy="1905"/>
                      <wp:effectExtent l="0" t="13970" r="635" b="22225"/>
                      <wp:wrapNone/>
                      <wp:docPr id="43" name="直接连接符 43"/>
                      <wp:cNvGraphicFramePr/>
                      <a:graphic xmlns:a="http://schemas.openxmlformats.org/drawingml/2006/main">
                        <a:graphicData uri="http://schemas.microsoft.com/office/word/2010/wordprocessingShape">
                          <wps:wsp>
                            <wps:cNvCnPr/>
                            <wps:spPr>
                              <a:xfrm flipV="1">
                                <a:off x="0" y="0"/>
                                <a:ext cx="4895215" cy="190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5.4pt;margin-top:0.4pt;height:0.15pt;width:385.45pt;z-index:251699200;mso-width-relative:page;mso-height-relative:page;" filled="f" stroked="t" coordsize="21600,21600" o:gfxdata="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F&#10;MiKd1AAAAAUBAAAPAAAAAAAAAAEAIAAAACIAAABkcnMvZG93bnJldi54bWxQSwECFAAUAAAACACH&#10;TuJA8CuQve8BAADBAwAADgAAAAAAAAABACAAAAAjAQAAZHJzL2Uyb0RvYy54bWxQSwUGAAAAAAYA&#10;BgBZAQAAhAU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cs="Times New Roman" w:eastAsiaTheme="minorEastAsia"/>
                <w:sz w:val="21"/>
                <w:u w:val="none"/>
                <w:lang w:val="en-US" w:eastAsia="zh-CN"/>
              </w:rPr>
            </w:pPr>
            <w:r>
              <w:rPr>
                <w:rFonts w:hint="default" w:ascii="Times New Roman" w:hAnsi="Times New Roman" w:cs="Times New Roman"/>
                <w:sz w:val="21"/>
                <w:u w:val="none"/>
                <w:lang w:val="en-US" w:eastAsia="zh-CN"/>
              </w:rPr>
              <w:t>3.1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31</w:t>
            </w: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④验证已实施的中高费方案的成果</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cs="Times New Roman"/>
                <w:sz w:val="21"/>
                <w:u w:val="none"/>
              </w:rPr>
            </w:pPr>
            <w:r>
              <w:rPr>
                <w:rFonts w:hint="default" w:ascii="Times New Roman" w:hAnsi="Times New Roman" w:cs="Times New Roman"/>
                <w:sz w:val="21"/>
                <w:u w:val="none"/>
              </w:rPr>
              <mc:AlternateContent>
                <mc:Choice Requires="wps">
                  <w:drawing>
                    <wp:anchor distT="0" distB="0" distL="114300" distR="114300" simplePos="0" relativeHeight="251734016" behindDoc="0" locked="0" layoutInCell="1" allowOverlap="1">
                      <wp:simplePos x="0" y="0"/>
                      <wp:positionH relativeFrom="column">
                        <wp:posOffset>66675</wp:posOffset>
                      </wp:positionH>
                      <wp:positionV relativeFrom="paragraph">
                        <wp:posOffset>187325</wp:posOffset>
                      </wp:positionV>
                      <wp:extent cx="5457190" cy="5715"/>
                      <wp:effectExtent l="0" t="0" r="0" b="0"/>
                      <wp:wrapNone/>
                      <wp:docPr id="153" name="直接连接符 153"/>
                      <wp:cNvGraphicFramePr/>
                      <a:graphic xmlns:a="http://schemas.openxmlformats.org/drawingml/2006/main">
                        <a:graphicData uri="http://schemas.microsoft.com/office/word/2010/wordprocessingShape">
                          <wps:wsp>
                            <wps:cNvCnPr/>
                            <wps:spPr>
                              <a:xfrm>
                                <a:off x="0" y="0"/>
                                <a:ext cx="5457190" cy="571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5pt;margin-top:14.75pt;height:0.45pt;width:429.7pt;z-index:251734016;mso-width-relative:page;mso-height-relative:page;" filled="f" stroked="t" coordsize="21600,21600" o:gfxdata="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Vd1VgdYA&#10;AAAIAQAADwAAAAAAAAABACAAAAAiAAAAZHJzL2Rvd25yZXYueG1sUEsBAhQAFAAAAAgAh07iQLxI&#10;8EfoAQAAuQMAAA4AAAAAAAAAAQAgAAAAJQEAAGRycy9lMm9Eb2MueG1sUEsFBgAAAAAGAAYAWQEA&#10;AH8FA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cs="Times New Roman" w:eastAsiaTheme="minorEastAsia"/>
                <w:sz w:val="21"/>
                <w:u w:val="none"/>
                <w:lang w:val="en-US" w:eastAsia="zh-CN"/>
              </w:rPr>
            </w:pPr>
            <w:r>
              <w:rPr>
                <w:rFonts w:hint="default" w:ascii="Times New Roman" w:hAnsi="Times New Roman" w:cs="Times New Roman"/>
                <w:sz w:val="21"/>
                <w:u w:val="none"/>
                <w:lang w:val="en-US" w:eastAsia="zh-CN"/>
              </w:rPr>
              <w:t>4.1</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3</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4</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5</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6</w: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7</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8</w: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12</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13</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14</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15</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16</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17</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18</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19</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20</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21</w: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22</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23</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24</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25</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26</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27</w: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28</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29</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30</w:t>
            </w: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4"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⑤分析汇总已实施方案对组织的影响</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cs="Times New Roman"/>
                <w:sz w:val="21"/>
                <w:u w:val="none"/>
              </w:rPr>
            </w:pPr>
            <w:r>
              <w:rPr>
                <w:rFonts w:hint="default" w:ascii="Times New Roman" w:hAnsi="Times New Roman" w:cs="Times New Roman"/>
                <w:sz w:val="21"/>
                <w:u w:val="none"/>
              </w:rPr>
              <mc:AlternateContent>
                <mc:Choice Requires="wps">
                  <w:drawing>
                    <wp:anchor distT="0" distB="0" distL="114300" distR="114300" simplePos="0" relativeHeight="251698176" behindDoc="0" locked="0" layoutInCell="1" allowOverlap="1">
                      <wp:simplePos x="0" y="0"/>
                      <wp:positionH relativeFrom="column">
                        <wp:posOffset>56515</wp:posOffset>
                      </wp:positionH>
                      <wp:positionV relativeFrom="paragraph">
                        <wp:posOffset>140970</wp:posOffset>
                      </wp:positionV>
                      <wp:extent cx="1230630" cy="635"/>
                      <wp:effectExtent l="0" t="13970" r="7620" b="23495"/>
                      <wp:wrapNone/>
                      <wp:docPr id="45" name="直接连接符 45"/>
                      <wp:cNvGraphicFramePr/>
                      <a:graphic xmlns:a="http://schemas.openxmlformats.org/drawingml/2006/main">
                        <a:graphicData uri="http://schemas.microsoft.com/office/word/2010/wordprocessingShape">
                          <wps:wsp>
                            <wps:cNvCnPr/>
                            <wps:spPr>
                              <a:xfrm flipV="1">
                                <a:off x="0" y="0"/>
                                <a:ext cx="123063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4.45pt;margin-top:11.1pt;height:0.05pt;width:96.9pt;z-index:251698176;mso-width-relative:page;mso-height-relative:page;" filled="f" stroked="t" coordsize="21600,21600" o:gfxdata="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9DGZjtUAAAAHAQAADwAAAAAAAAABACAAAAAiAAAAZHJzL2Rvd25yZXYueG1sUEsBAhQAFAAAAAgA&#10;h07iQML+Xr7vAQAAwAMAAA4AAAAAAAAAAQAgAAAAJAEAAGRycy9lMm9Eb2MueG1sUEsFBgAAAAAG&#10;AAYAWQEAAIUFAAAAAA==&#10;">
                      <v:fill on="f" focussize="0,0"/>
                      <v:stroke weight="2.25pt" color="#000000 [3213]" miterlimit="8" joinstyle="miter"/>
                      <v:imagedata o:title=""/>
                      <o:lock v:ext="edit" aspectratio="f"/>
                    </v:line>
                  </w:pict>
                </mc:Fallback>
              </mc:AlternateContent>
            </w: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相关部门+</w:t>
            </w: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持续清洁生产</w:t>
            </w: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①建立完善清洁生产组织</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697152" behindDoc="0" locked="0" layoutInCell="1" allowOverlap="1">
                      <wp:simplePos x="0" y="0"/>
                      <wp:positionH relativeFrom="column">
                        <wp:posOffset>8255</wp:posOffset>
                      </wp:positionH>
                      <wp:positionV relativeFrom="paragraph">
                        <wp:posOffset>199390</wp:posOffset>
                      </wp:positionV>
                      <wp:extent cx="1440180" cy="635"/>
                      <wp:effectExtent l="0" t="13970" r="7620" b="23495"/>
                      <wp:wrapNone/>
                      <wp:docPr id="46" name="直接连接符 46"/>
                      <wp:cNvGraphicFramePr/>
                      <a:graphic xmlns:a="http://schemas.openxmlformats.org/drawingml/2006/main">
                        <a:graphicData uri="http://schemas.microsoft.com/office/word/2010/wordprocessingShape">
                          <wps:wsp>
                            <wps:cNvCnPr/>
                            <wps:spPr>
                              <a:xfrm>
                                <a:off x="0" y="0"/>
                                <a:ext cx="144018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5pt;margin-top:15.7pt;height:0.05pt;width:113.4pt;z-index:251697152;mso-width-relative:page;mso-height-relative:page;" filled="f" stroked="t" coordsize="21600,21600" o:gfxdata="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8+qfyNMAAAAH&#10;AQAADwAAAAAAAAABACAAAAAiAAAAZHJzL2Rvd25yZXYueG1sUEsBAhQAFAAAAAgAh07iQE/crpjo&#10;AQAAtgMAAA4AAAAAAAAAAQAgAAAAIgEAAGRycy9lMm9Eb2MueG1sUEsFBgAAAAAGAAYAWQEAAHwF&#10;AAAAAA==&#10;">
                      <v:fill on="f" focussize="0,0"/>
                      <v:stroke weight="2.25pt" color="#000000 [3213]" miterlimit="8" joinstyle="miter"/>
                      <v:imagedata o:title=""/>
                      <o:lock v:ext="edit" aspectratio="f"/>
                    </v:line>
                  </w:pict>
                </mc:Fallback>
              </mc:AlternateContent>
            </w: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②建立完善清洁生产管理制度</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696128" behindDoc="0" locked="0" layoutInCell="1" allowOverlap="1">
                      <wp:simplePos x="0" y="0"/>
                      <wp:positionH relativeFrom="column">
                        <wp:posOffset>6985</wp:posOffset>
                      </wp:positionH>
                      <wp:positionV relativeFrom="paragraph">
                        <wp:posOffset>128270</wp:posOffset>
                      </wp:positionV>
                      <wp:extent cx="792480" cy="9525"/>
                      <wp:effectExtent l="0" t="13970" r="7620" b="14605"/>
                      <wp:wrapNone/>
                      <wp:docPr id="47" name="直接连接符 47"/>
                      <wp:cNvGraphicFramePr/>
                      <a:graphic xmlns:a="http://schemas.openxmlformats.org/drawingml/2006/main">
                        <a:graphicData uri="http://schemas.microsoft.com/office/word/2010/wordprocessingShape">
                          <wps:wsp>
                            <wps:cNvCnPr/>
                            <wps:spPr>
                              <a:xfrm>
                                <a:off x="0" y="0"/>
                                <a:ext cx="792480" cy="952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55pt;margin-top:10.1pt;height:0.75pt;width:62.4pt;z-index:251696128;mso-width-relative:page;mso-height-relative:page;" filled="f" stroked="t" coordsize="21600,21600" o:gfxdata="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EoQ9z/SAAAABwEA&#10;AA8AAAAAAAAAAQAgAAAAIgAAAGRycy9kb3ducmV2LnhtbFBLAQIUABQAAAAIAIdO4kC9m1fJ5wEA&#10;ALYDAAAOAAAAAAAAAAEAIAAAACEBAABkcnMvZTJvRG9jLnhtbFBLBQYAAAAABgAGAFkBAAB6BQAA&#10;AAA=&#10;">
                      <v:fill on="f" focussize="0,0"/>
                      <v:stroke weight="2.25pt" color="#000000 [3213]" miterlimit="8" joinstyle="miter"/>
                      <v:imagedata o:title=""/>
                      <o:lock v:ext="edit" aspectratio="f"/>
                    </v:line>
                  </w:pict>
                </mc:Fallback>
              </mc:AlternateContent>
            </w: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2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0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kern w:val="2"/>
                <w:sz w:val="21"/>
                <w:szCs w:val="21"/>
                <w:u w:val="none"/>
                <w:vertAlign w:val="baseline"/>
                <w:lang w:val="en-US" w:eastAsia="zh-CN" w:bidi="ar-SA"/>
              </w:rPr>
              <w:t>③制定持续清洁生产计划</w:t>
            </w:r>
          </w:p>
        </w:tc>
        <w:tc>
          <w:tcPr>
            <w:tcW w:w="5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cs="Times New Roman"/>
                <w:sz w:val="21"/>
                <w:u w:val="none"/>
              </w:rPr>
              <mc:AlternateContent>
                <mc:Choice Requires="wps">
                  <w:drawing>
                    <wp:anchor distT="0" distB="0" distL="114300" distR="114300" simplePos="0" relativeHeight="251695104" behindDoc="0" locked="0" layoutInCell="1" allowOverlap="1">
                      <wp:simplePos x="0" y="0"/>
                      <wp:positionH relativeFrom="column">
                        <wp:posOffset>5715</wp:posOffset>
                      </wp:positionH>
                      <wp:positionV relativeFrom="paragraph">
                        <wp:posOffset>203200</wp:posOffset>
                      </wp:positionV>
                      <wp:extent cx="1292225" cy="8255"/>
                      <wp:effectExtent l="0" t="13970" r="3175" b="15875"/>
                      <wp:wrapNone/>
                      <wp:docPr id="48" name="直接连接符 48"/>
                      <wp:cNvGraphicFramePr/>
                      <a:graphic xmlns:a="http://schemas.openxmlformats.org/drawingml/2006/main">
                        <a:graphicData uri="http://schemas.microsoft.com/office/word/2010/wordprocessingShape">
                          <wps:wsp>
                            <wps:cNvCnPr/>
                            <wps:spPr>
                              <a:xfrm>
                                <a:off x="0" y="0"/>
                                <a:ext cx="1292225" cy="825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45pt;margin-top:16pt;height:0.65pt;width:101.75pt;z-index:251695104;mso-width-relative:page;mso-height-relative:page;" filled="f" stroked="t" coordsize="21600,21600" o:gfxdata="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iSvhz1AAAAAYB&#10;AAAPAAAAAAAAAAEAIAAAACIAAABkcnMvZG93bnJldi54bWxQSwECFAAUAAAACACHTuJATbJd4uYB&#10;AAC3AwAADgAAAAAAAAABACAAAAAjAQAAZHJzL2Uyb0RvYy54bWxQSwUGAAAAAAYABgBZAQAAewUA&#10;AAAA&#10;">
                      <v:fill on="f" focussize="0,0"/>
                      <v:stroke weight="2.25pt" color="#000000 [3213]" miterlimit="8" joinstyle="miter"/>
                      <v:imagedata o:title=""/>
                      <o:lock v:ext="edit" aspectratio="f"/>
                    </v:line>
                  </w:pict>
                </mc:Fallback>
              </mc:AlternateContent>
            </w: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2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p>
        </w:tc>
        <w:tc>
          <w:tcPr>
            <w:tcW w:w="17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u w:val="none"/>
                <w:vertAlign w:val="baseline"/>
                <w:lang w:val="en-US" w:eastAsia="zh-CN" w:bidi="ar-SA"/>
              </w:rPr>
            </w:pPr>
            <w:r>
              <w:rPr>
                <w:rFonts w:hint="default" w:ascii="Times New Roman" w:hAnsi="Times New Roman" w:eastAsia="宋体" w:cs="Times New Roman"/>
                <w:b w:val="0"/>
                <w:bCs w:val="0"/>
                <w:color w:val="auto"/>
                <w:sz w:val="21"/>
                <w:szCs w:val="21"/>
                <w:u w:val="none"/>
                <w:vertAlign w:val="baseline"/>
                <w:lang w:val="en-US" w:eastAsia="zh-CN"/>
              </w:rPr>
              <w:t>审核小组</w:t>
            </w:r>
          </w:p>
        </w:tc>
      </w:tr>
    </w:tbl>
    <w:p>
      <w:pPr>
        <w:spacing w:line="360" w:lineRule="auto"/>
        <w:jc w:val="both"/>
        <w:rPr>
          <w:rFonts w:hint="default" w:ascii="Times New Roman" w:hAnsi="Times New Roman" w:cs="Times New Roman"/>
          <w:b w:val="0"/>
          <w:bCs w:val="0"/>
          <w:color w:val="auto"/>
          <w:sz w:val="24"/>
          <w:szCs w:val="24"/>
          <w:lang w:val="en-US" w:eastAsia="zh-CN"/>
        </w:rPr>
      </w:pPr>
    </w:p>
    <w:p>
      <w:pPr>
        <w:spacing w:line="360" w:lineRule="auto"/>
        <w:ind w:firstLine="420" w:firstLineChars="200"/>
        <w:jc w:val="center"/>
        <w:rPr>
          <w:rFonts w:hint="default" w:ascii="Times New Roman" w:hAnsi="Times New Roman" w:cs="Times New Roman"/>
          <w:lang w:val="en-US"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bookmarkEnd w:id="92"/>
    <w:bookmarkEnd w:id="93"/>
    <w:p>
      <w:pPr>
        <w:pStyle w:val="3"/>
        <w:bidi w:val="0"/>
        <w:jc w:val="center"/>
        <w:rPr>
          <w:rFonts w:hint="default" w:ascii="Times New Roman" w:hAnsi="Times New Roman" w:cs="Times New Roman"/>
        </w:rPr>
      </w:pPr>
      <w:bookmarkStart w:id="94" w:name="_Toc23172"/>
      <w:r>
        <w:rPr>
          <w:rFonts w:hint="default" w:ascii="Times New Roman" w:hAnsi="Times New Roman" w:cs="Times New Roman"/>
          <w:lang w:val="en-US" w:eastAsia="zh-CN"/>
        </w:rPr>
        <w:t>第三章 预审核</w:t>
      </w:r>
      <w:bookmarkEnd w:id="94"/>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预审核阶段是清洁生产审核的第二阶段，目的是从生产的全过程出发，对企业现状进行调研和考察，摸清污染现状和产污重点并通过定性比较或定量分析，确定审核重点，并针对审核重点设置清洁生产目标。</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清洁生产预审核具体工作流程见下图。</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28" o:spt="75" type="#_x0000_t75" style="height:191.25pt;width:140.25pt;" o:ole="t" filled="f" o:preferrelative="t" stroked="f" coordsize="21600,21600">
            <v:path/>
            <v:fill on="f" focussize="0,0"/>
            <v:stroke on="f"/>
            <v:imagedata r:id="rId20" o:title=""/>
            <o:lock v:ext="edit" aspectratio="t"/>
            <w10:wrap type="none"/>
            <w10:anchorlock/>
          </v:shape>
          <o:OLEObject Type="Embed" ProgID="Visio.Drawing.11" ShapeID="_x0000_i1028" DrawAspect="Content" ObjectID="_1468075728" r:id="rId19">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图3-1 预审核准备工作流程图</w:t>
      </w:r>
    </w:p>
    <w:p>
      <w:pPr>
        <w:pStyle w:val="5"/>
        <w:bidi w:val="0"/>
        <w:rPr>
          <w:rFonts w:hint="default" w:ascii="Times New Roman" w:hAnsi="Times New Roman" w:cs="Times New Roman"/>
          <w:lang w:val="en-US" w:eastAsia="zh-CN"/>
        </w:rPr>
      </w:pPr>
      <w:bookmarkStart w:id="95" w:name="_Toc26764"/>
      <w:r>
        <w:rPr>
          <w:rFonts w:hint="default" w:ascii="Times New Roman" w:hAnsi="Times New Roman" w:cs="Times New Roman"/>
          <w:lang w:val="en-US" w:eastAsia="zh-CN"/>
        </w:rPr>
        <w:t>3.1现状调研</w:t>
      </w:r>
      <w:bookmarkEnd w:id="95"/>
    </w:p>
    <w:p>
      <w:pPr>
        <w:spacing w:line="360" w:lineRule="auto"/>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3.1.1企业概况</w:t>
      </w:r>
    </w:p>
    <w:p>
      <w:pPr>
        <w:spacing w:line="360" w:lineRule="auto"/>
        <w:ind w:firstLine="480" w:firstLineChars="200"/>
        <w:jc w:val="both"/>
        <w:rPr>
          <w:rFonts w:hint="default" w:ascii="Times New Roman" w:hAnsi="Times New Roman" w:cs="Times New Roman"/>
          <w:b w:val="0"/>
          <w:bCs w:val="0"/>
          <w:sz w:val="24"/>
          <w:szCs w:val="24"/>
          <w:highlight w:val="yellow"/>
          <w:lang w:eastAsia="zh-CN"/>
        </w:rPr>
      </w:pPr>
      <w:r>
        <w:rPr>
          <w:rFonts w:hint="default" w:ascii="Times New Roman" w:hAnsi="Times New Roman" w:cs="Times New Roman"/>
          <w:b w:val="0"/>
          <w:bCs w:val="0"/>
          <w:sz w:val="24"/>
          <w:szCs w:val="24"/>
          <w:lang w:eastAsia="zh-CN"/>
        </w:rPr>
        <w:t>新乡市俊业新材料有限公司成立</w:t>
      </w:r>
      <w:r>
        <w:rPr>
          <w:rFonts w:hint="default" w:ascii="Times New Roman" w:hAnsi="Times New Roman" w:cs="Times New Roman"/>
          <w:b w:val="0"/>
          <w:bCs w:val="0"/>
          <w:sz w:val="24"/>
          <w:szCs w:val="24"/>
          <w:highlight w:val="none"/>
          <w:lang w:eastAsia="zh-CN"/>
        </w:rPr>
        <w:t>于200</w:t>
      </w:r>
      <w:r>
        <w:rPr>
          <w:rFonts w:hint="default" w:ascii="Times New Roman" w:hAnsi="Times New Roman" w:cs="Times New Roman"/>
          <w:b w:val="0"/>
          <w:bCs w:val="0"/>
          <w:sz w:val="24"/>
          <w:szCs w:val="24"/>
          <w:highlight w:val="none"/>
          <w:lang w:val="en-US" w:eastAsia="zh-CN"/>
        </w:rPr>
        <w:t>2</w:t>
      </w:r>
      <w:r>
        <w:rPr>
          <w:rFonts w:hint="default" w:ascii="Times New Roman" w:hAnsi="Times New Roman" w:cs="Times New Roman"/>
          <w:b w:val="0"/>
          <w:bCs w:val="0"/>
          <w:sz w:val="24"/>
          <w:szCs w:val="24"/>
          <w:highlight w:val="none"/>
          <w:lang w:eastAsia="zh-CN"/>
        </w:rPr>
        <w:t>年</w:t>
      </w:r>
      <w:r>
        <w:rPr>
          <w:rFonts w:hint="default" w:ascii="Times New Roman" w:hAnsi="Times New Roman" w:cs="Times New Roman"/>
          <w:b w:val="0"/>
          <w:bCs w:val="0"/>
          <w:sz w:val="24"/>
          <w:szCs w:val="24"/>
          <w:highlight w:val="none"/>
          <w:lang w:val="en-US" w:eastAsia="zh-CN"/>
        </w:rPr>
        <w:t>11</w:t>
      </w:r>
      <w:r>
        <w:rPr>
          <w:rFonts w:hint="default" w:ascii="Times New Roman" w:hAnsi="Times New Roman" w:cs="Times New Roman"/>
          <w:b w:val="0"/>
          <w:bCs w:val="0"/>
          <w:sz w:val="24"/>
          <w:szCs w:val="24"/>
          <w:highlight w:val="none"/>
          <w:lang w:eastAsia="zh-CN"/>
        </w:rPr>
        <w:t>月</w:t>
      </w:r>
      <w:r>
        <w:rPr>
          <w:rFonts w:hint="default" w:ascii="Times New Roman" w:hAnsi="Times New Roman" w:cs="Times New Roman"/>
          <w:b w:val="0"/>
          <w:bCs w:val="0"/>
          <w:sz w:val="24"/>
          <w:szCs w:val="24"/>
          <w:highlight w:val="none"/>
          <w:lang w:val="en-US" w:eastAsia="zh-CN"/>
        </w:rPr>
        <w:t>11</w:t>
      </w:r>
      <w:r>
        <w:rPr>
          <w:rFonts w:hint="default" w:ascii="Times New Roman" w:hAnsi="Times New Roman" w:cs="Times New Roman"/>
          <w:b w:val="0"/>
          <w:bCs w:val="0"/>
          <w:sz w:val="24"/>
          <w:szCs w:val="24"/>
          <w:highlight w:val="none"/>
          <w:lang w:eastAsia="zh-CN"/>
        </w:rPr>
        <w:t>日，厂址位于新乡市牧野区西马坊村北，统一社会信用代码：91410711744079786Y，占地面积6700m</w:t>
      </w:r>
      <w:r>
        <w:rPr>
          <w:rFonts w:hint="default" w:ascii="Times New Roman" w:hAnsi="Times New Roman" w:cs="Times New Roman"/>
          <w:b w:val="0"/>
          <w:bCs w:val="0"/>
          <w:sz w:val="24"/>
          <w:szCs w:val="24"/>
          <w:highlight w:val="none"/>
          <w:vertAlign w:val="superscript"/>
          <w:lang w:eastAsia="zh-CN"/>
        </w:rPr>
        <w:t>2</w:t>
      </w:r>
      <w:r>
        <w:rPr>
          <w:rFonts w:hint="default" w:ascii="Times New Roman" w:hAnsi="Times New Roman" w:cs="Times New Roman"/>
          <w:b w:val="0"/>
          <w:bCs w:val="0"/>
          <w:sz w:val="24"/>
          <w:szCs w:val="24"/>
          <w:highlight w:val="none"/>
          <w:lang w:eastAsia="zh-CN"/>
        </w:rPr>
        <w:t>，注册资金316万元。20</w:t>
      </w:r>
      <w:r>
        <w:rPr>
          <w:rFonts w:hint="default" w:ascii="Times New Roman" w:hAnsi="Times New Roman" w:cs="Times New Roman"/>
          <w:b w:val="0"/>
          <w:bCs w:val="0"/>
          <w:sz w:val="24"/>
          <w:szCs w:val="24"/>
          <w:highlight w:val="none"/>
          <w:lang w:val="en-US" w:eastAsia="zh-CN"/>
        </w:rPr>
        <w:t>19</w:t>
      </w:r>
      <w:r>
        <w:rPr>
          <w:rFonts w:hint="default" w:ascii="Times New Roman" w:hAnsi="Times New Roman" w:cs="Times New Roman"/>
          <w:b w:val="0"/>
          <w:bCs w:val="0"/>
          <w:sz w:val="24"/>
          <w:szCs w:val="24"/>
          <w:highlight w:val="none"/>
          <w:lang w:eastAsia="zh-CN"/>
        </w:rPr>
        <w:t>年</w:t>
      </w:r>
      <w:r>
        <w:rPr>
          <w:rFonts w:hint="default" w:ascii="Times New Roman" w:hAnsi="Times New Roman" w:cs="Times New Roman"/>
          <w:b w:val="0"/>
          <w:bCs w:val="0"/>
          <w:sz w:val="24"/>
          <w:szCs w:val="24"/>
          <w:highlight w:val="none"/>
          <w:lang w:val="en-US" w:eastAsia="zh-CN"/>
        </w:rPr>
        <w:t>6</w:t>
      </w:r>
      <w:r>
        <w:rPr>
          <w:rFonts w:hint="default" w:ascii="Times New Roman" w:hAnsi="Times New Roman" w:cs="Times New Roman"/>
          <w:b w:val="0"/>
          <w:bCs w:val="0"/>
          <w:sz w:val="24"/>
          <w:szCs w:val="24"/>
          <w:highlight w:val="none"/>
          <w:lang w:eastAsia="zh-CN"/>
        </w:rPr>
        <w:t>月</w:t>
      </w:r>
      <w:r>
        <w:rPr>
          <w:rFonts w:hint="default" w:ascii="Times New Roman" w:hAnsi="Times New Roman" w:cs="Times New Roman"/>
          <w:b w:val="0"/>
          <w:bCs w:val="0"/>
          <w:sz w:val="24"/>
          <w:szCs w:val="24"/>
          <w:highlight w:val="none"/>
          <w:lang w:val="en-US" w:eastAsia="zh-CN"/>
        </w:rPr>
        <w:t>19日</w:t>
      </w:r>
      <w:r>
        <w:rPr>
          <w:rFonts w:hint="default" w:ascii="Times New Roman" w:hAnsi="Times New Roman" w:cs="Times New Roman"/>
          <w:b w:val="0"/>
          <w:bCs w:val="0"/>
          <w:sz w:val="24"/>
          <w:szCs w:val="24"/>
          <w:highlight w:val="none"/>
          <w:lang w:eastAsia="zh-CN"/>
        </w:rPr>
        <w:t>取得排污许可证，证书编号：91410711744079786Y001</w:t>
      </w:r>
      <w:r>
        <w:rPr>
          <w:rFonts w:hint="default" w:ascii="Times New Roman" w:hAnsi="Times New Roman" w:cs="Times New Roman"/>
          <w:b w:val="0"/>
          <w:bCs w:val="0"/>
          <w:sz w:val="24"/>
          <w:szCs w:val="24"/>
          <w:highlight w:val="none"/>
          <w:lang w:val="en-US" w:eastAsia="zh-CN"/>
        </w:rPr>
        <w:t>P</w:t>
      </w:r>
      <w:r>
        <w:rPr>
          <w:rFonts w:hint="default" w:ascii="Times New Roman" w:hAnsi="Times New Roman" w:cs="Times New Roman"/>
          <w:b w:val="0"/>
          <w:bCs w:val="0"/>
          <w:sz w:val="24"/>
          <w:szCs w:val="24"/>
          <w:highlight w:val="none"/>
          <w:lang w:eastAsia="zh-CN"/>
        </w:rPr>
        <w:t>。</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sz w:val="24"/>
          <w:szCs w:val="24"/>
          <w:lang w:eastAsia="zh-CN"/>
        </w:rPr>
        <w:t>“新乡市俊业新材料有限公司年产冲孔镀镍钢带240吨、钢壳8000万只项目”于201</w:t>
      </w:r>
      <w:r>
        <w:rPr>
          <w:rFonts w:hint="default" w:ascii="Times New Roman" w:hAnsi="Times New Roman" w:cs="Times New Roman"/>
          <w:b w:val="0"/>
          <w:bCs w:val="0"/>
          <w:sz w:val="24"/>
          <w:szCs w:val="24"/>
          <w:lang w:val="en-US" w:eastAsia="zh-CN"/>
        </w:rPr>
        <w:t>3</w:t>
      </w:r>
      <w:r>
        <w:rPr>
          <w:rFonts w:hint="default" w:ascii="Times New Roman" w:hAnsi="Times New Roman" w:cs="Times New Roman"/>
          <w:b w:val="0"/>
          <w:bCs w:val="0"/>
          <w:sz w:val="24"/>
          <w:szCs w:val="24"/>
          <w:lang w:eastAsia="zh-CN"/>
        </w:rPr>
        <w:t>年</w:t>
      </w:r>
      <w:r>
        <w:rPr>
          <w:rFonts w:hint="default" w:ascii="Times New Roman" w:hAnsi="Times New Roman" w:cs="Times New Roman"/>
          <w:b w:val="0"/>
          <w:bCs w:val="0"/>
          <w:sz w:val="24"/>
          <w:szCs w:val="24"/>
          <w:lang w:val="en-US" w:eastAsia="zh-CN"/>
        </w:rPr>
        <w:t>6</w:t>
      </w:r>
      <w:r>
        <w:rPr>
          <w:rFonts w:hint="default" w:ascii="Times New Roman" w:hAnsi="Times New Roman" w:cs="Times New Roman"/>
          <w:b w:val="0"/>
          <w:bCs w:val="0"/>
          <w:sz w:val="24"/>
          <w:szCs w:val="24"/>
          <w:lang w:eastAsia="zh-CN"/>
        </w:rPr>
        <w:t>月建成并投用，建设前无环评手续。2016年</w:t>
      </w:r>
      <w:r>
        <w:rPr>
          <w:rFonts w:hint="default" w:ascii="Times New Roman" w:hAnsi="Times New Roman" w:cs="Times New Roman"/>
          <w:b w:val="0"/>
          <w:bCs w:val="0"/>
          <w:sz w:val="24"/>
          <w:szCs w:val="24"/>
          <w:highlight w:val="none"/>
          <w:lang w:eastAsia="zh-CN"/>
        </w:rPr>
        <w:t>4月，新乡市政府根据《河南省环境保护委员会办公室关于做好环保违法违规建设</w:t>
      </w:r>
      <w:r>
        <w:rPr>
          <w:rFonts w:hint="default" w:ascii="Times New Roman" w:hAnsi="Times New Roman" w:cs="Times New Roman"/>
          <w:b w:val="0"/>
          <w:bCs w:val="0"/>
          <w:sz w:val="24"/>
          <w:szCs w:val="24"/>
          <w:lang w:eastAsia="zh-CN"/>
        </w:rPr>
        <w:t>项目清理整改工作的实施意见（豫环委办【2016】22号）》的相关要求成立了整改环保违法违规建设项目领导小组，在清理活动中将该项目列入《环保违法违规建设项目名单》，2016年9月，该项目编制完成了《新乡市俊业新材料有限公司年产冲孔镀镍钢带240吨、钢壳8000万只项目现状环境影响评估报告》，</w:t>
      </w:r>
      <w:r>
        <w:rPr>
          <w:rFonts w:hint="default" w:ascii="Times New Roman" w:hAnsi="Times New Roman" w:cs="Times New Roman"/>
          <w:b w:val="0"/>
          <w:bCs w:val="0"/>
          <w:sz w:val="24"/>
          <w:szCs w:val="24"/>
          <w:highlight w:val="none"/>
          <w:lang w:eastAsia="zh-CN"/>
        </w:rPr>
        <w:t>申报与新乡市环境保护局牧野分局进行环保行政管理备案，备案号为牧环清改备第0</w:t>
      </w:r>
      <w:r>
        <w:rPr>
          <w:rFonts w:hint="default" w:ascii="Times New Roman" w:hAnsi="Times New Roman" w:cs="Times New Roman"/>
          <w:b w:val="0"/>
          <w:bCs w:val="0"/>
          <w:sz w:val="24"/>
          <w:szCs w:val="24"/>
          <w:highlight w:val="none"/>
          <w:lang w:val="en-US" w:eastAsia="zh-CN"/>
        </w:rPr>
        <w:t>2</w:t>
      </w:r>
      <w:r>
        <w:rPr>
          <w:rFonts w:hint="default" w:ascii="Times New Roman" w:hAnsi="Times New Roman" w:cs="Times New Roman"/>
          <w:b w:val="0"/>
          <w:bCs w:val="0"/>
          <w:sz w:val="24"/>
          <w:szCs w:val="24"/>
          <w:highlight w:val="none"/>
          <w:lang w:eastAsia="zh-CN"/>
        </w:rPr>
        <w:t>号</w:t>
      </w:r>
      <w:r>
        <w:rPr>
          <w:rFonts w:hint="default" w:ascii="Times New Roman" w:hAnsi="Times New Roman" w:cs="Times New Roman"/>
          <w:b w:val="0"/>
          <w:bCs w:val="0"/>
          <w:sz w:val="24"/>
          <w:szCs w:val="24"/>
          <w:lang w:eastAsia="zh-CN"/>
        </w:rPr>
        <w:t>。</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3.1.2企业管理现状</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公司现有职工32人，</w:t>
      </w:r>
      <w:r>
        <w:rPr>
          <w:rFonts w:hint="default" w:ascii="Times New Roman" w:hAnsi="Times New Roman" w:cs="Times New Roman"/>
          <w:b w:val="0"/>
          <w:bCs w:val="0"/>
          <w:color w:val="auto"/>
          <w:sz w:val="24"/>
          <w:szCs w:val="24"/>
          <w:highlight w:val="none"/>
          <w:lang w:val="en-US" w:eastAsia="zh-CN"/>
        </w:rPr>
        <w:t>企业厂区内配置生产科、财务科和综合办3个职能部门</w:t>
      </w:r>
      <w:r>
        <w:rPr>
          <w:rFonts w:hint="default" w:ascii="Times New Roman" w:hAnsi="Times New Roman" w:cs="Times New Roman"/>
          <w:b w:val="0"/>
          <w:bCs w:val="0"/>
          <w:color w:val="auto"/>
          <w:sz w:val="24"/>
          <w:szCs w:val="24"/>
          <w:lang w:val="en-US" w:eastAsia="zh-CN"/>
        </w:rPr>
        <w:t>，企业年生产天数300天，全年生产2400小时。</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3.1.3企业组织机构</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企业组织机构图如下图所示。</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29" o:spt="75" type="#_x0000_t75" style="height:167.5pt;width:280.5pt;" o:ole="t" filled="f" o:preferrelative="t" stroked="f" coordsize="21600,21600">
            <v:path/>
            <v:fill on="f" focussize="0,0"/>
            <v:stroke on="f"/>
            <v:imagedata r:id="rId22" o:title=""/>
            <o:lock v:ext="edit" aspectratio="t"/>
            <w10:wrap type="none"/>
            <w10:anchorlock/>
          </v:shape>
          <o:OLEObject Type="Embed" ProgID="Visio.Drawing.11" ShapeID="_x0000_i1029" DrawAspect="Content" ObjectID="_1468075729" r:id="rId21">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图3-2  企业组织机构图</w:t>
      </w:r>
    </w:p>
    <w:p>
      <w:pPr>
        <w:spacing w:line="360" w:lineRule="auto"/>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3.1.4企业厂区平面布置</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新乡市俊业新材料有限公司</w:t>
      </w:r>
      <w:r>
        <w:rPr>
          <w:rFonts w:hint="default" w:ascii="Times New Roman" w:hAnsi="Times New Roman" w:cs="Times New Roman"/>
          <w:b w:val="0"/>
          <w:bCs w:val="0"/>
          <w:color w:val="auto"/>
          <w:sz w:val="24"/>
          <w:szCs w:val="24"/>
          <w:highlight w:val="none"/>
          <w:lang w:val="en-US" w:eastAsia="zh-CN"/>
        </w:rPr>
        <w:t>位于新乡市牧野区西马坊村北，占地面积6700m</w:t>
      </w:r>
      <w:r>
        <w:rPr>
          <w:rFonts w:hint="default" w:ascii="Times New Roman" w:hAnsi="Times New Roman" w:cs="Times New Roman"/>
          <w:b w:val="0"/>
          <w:bCs w:val="0"/>
          <w:color w:val="auto"/>
          <w:sz w:val="24"/>
          <w:szCs w:val="24"/>
          <w:highlight w:val="none"/>
          <w:vertAlign w:val="superscript"/>
          <w:lang w:val="en-US" w:eastAsia="zh-CN"/>
        </w:rPr>
        <w:t>2</w:t>
      </w:r>
      <w:r>
        <w:rPr>
          <w:rFonts w:hint="default" w:ascii="Times New Roman" w:hAnsi="Times New Roman" w:cs="Times New Roman"/>
          <w:b w:val="0"/>
          <w:bCs w:val="0"/>
          <w:color w:val="auto"/>
          <w:sz w:val="24"/>
          <w:szCs w:val="24"/>
          <w:highlight w:val="none"/>
          <w:lang w:val="en-US" w:eastAsia="zh-CN"/>
        </w:rPr>
        <w:t>，厂区呈南北向，内部分别设置有电镀车间、冲制车间、包装车间、锅炉房、职工宿舍等，</w:t>
      </w:r>
      <w:r>
        <w:rPr>
          <w:rFonts w:hint="default" w:ascii="Times New Roman" w:hAnsi="Times New Roman" w:cs="Times New Roman"/>
          <w:b w:val="0"/>
          <w:bCs w:val="0"/>
          <w:color w:val="auto"/>
          <w:sz w:val="24"/>
          <w:szCs w:val="24"/>
          <w:lang w:val="en-US" w:eastAsia="zh-CN"/>
        </w:rPr>
        <w:t>企业的地理位置图、平面布置图见附图。</w:t>
      </w:r>
    </w:p>
    <w:p>
      <w:pPr>
        <w:spacing w:line="360" w:lineRule="auto"/>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3.1.5企业生产现状</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新乡市俊业新材料有限公司位于新乡市牧野区西马坊村北，生产产品为冲孔镀镍钢带和钢壳，生产产能为年产冲孔镀镍钢带240吨、钢壳8000万只</w:t>
      </w:r>
      <w:r>
        <w:rPr>
          <w:rFonts w:hint="default" w:ascii="Times New Roman" w:hAnsi="Times New Roman" w:cs="Times New Roman"/>
          <w:b w:val="0"/>
          <w:bCs w:val="0"/>
          <w:color w:val="auto"/>
          <w:sz w:val="24"/>
          <w:szCs w:val="24"/>
          <w:highlight w:val="none"/>
          <w:lang w:val="en-US" w:eastAsia="zh-CN"/>
        </w:rPr>
        <w:t>，该项目于2013年6月建成并投用，建设前无环评手续。2016年9月进行了环保行政管理备案，备案号为牧环清改备第02号，产品冲孔镀镍钢带的生产工艺为“基材—冲制—脱脂—水洗—酸洗—纯水洗—电镀—镍回收—纯水洗—烘干”，产品镀镍钢壳的生产工艺为“基材—冲制—脱脂—水洗—酸洗—纯水洗—电镀—镍回收—纯水洗—漂白—纯水洗—中和—纯水洗—钝化—纯水洗—中和—纯水洗—保护—甩干—烘干”，项目厂区内设置2座污水处理站，其中1#污水处理站处理脱脂废</w:t>
      </w:r>
      <w:r>
        <w:rPr>
          <w:rFonts w:hint="default" w:ascii="Times New Roman" w:hAnsi="Times New Roman" w:cs="Times New Roman"/>
          <w:b w:val="0"/>
          <w:bCs w:val="0"/>
          <w:color w:val="auto"/>
          <w:sz w:val="24"/>
          <w:szCs w:val="24"/>
          <w:lang w:val="en-US" w:eastAsia="zh-CN"/>
        </w:rPr>
        <w:t>水，处理工艺为“混凝沉淀+气浮+高效臭氧催化反应”，处理规模48t/d；2#污水处理站处理含镍废水，处理工艺为“</w:t>
      </w:r>
      <w:r>
        <w:rPr>
          <w:rFonts w:hint="default" w:ascii="Times New Roman" w:hAnsi="Times New Roman" w:cs="Times New Roman"/>
          <w:b w:val="0"/>
          <w:bCs w:val="0"/>
          <w:color w:val="auto"/>
          <w:sz w:val="24"/>
          <w:szCs w:val="24"/>
          <w:highlight w:val="none"/>
          <w:lang w:val="en-US" w:eastAsia="zh-CN"/>
        </w:rPr>
        <w:t>高效气浮+</w:t>
      </w:r>
      <w:r>
        <w:rPr>
          <w:rFonts w:hint="eastAsia" w:ascii="Times New Roman" w:hAnsi="Times New Roman" w:cs="Times New Roman"/>
          <w:b w:val="0"/>
          <w:bCs w:val="0"/>
          <w:color w:val="auto"/>
          <w:sz w:val="24"/>
          <w:szCs w:val="24"/>
          <w:highlight w:val="none"/>
          <w:lang w:val="en-US" w:eastAsia="zh-CN"/>
        </w:rPr>
        <w:t>混凝</w:t>
      </w:r>
      <w:r>
        <w:rPr>
          <w:rFonts w:hint="default" w:ascii="Times New Roman" w:hAnsi="Times New Roman" w:cs="Times New Roman"/>
          <w:b w:val="0"/>
          <w:bCs w:val="0"/>
          <w:color w:val="auto"/>
          <w:sz w:val="24"/>
          <w:szCs w:val="24"/>
          <w:highlight w:val="none"/>
          <w:lang w:val="en-US" w:eastAsia="zh-CN"/>
        </w:rPr>
        <w:t>沉淀+</w:t>
      </w:r>
      <w:r>
        <w:rPr>
          <w:rFonts w:hint="eastAsia" w:ascii="Times New Roman" w:hAnsi="Times New Roman" w:cs="Times New Roman"/>
          <w:b w:val="0"/>
          <w:bCs w:val="0"/>
          <w:color w:val="auto"/>
          <w:sz w:val="24"/>
          <w:szCs w:val="24"/>
          <w:highlight w:val="none"/>
          <w:lang w:val="en-US" w:eastAsia="zh-CN"/>
        </w:rPr>
        <w:t>板框压滤+</w:t>
      </w:r>
      <w:r>
        <w:rPr>
          <w:rFonts w:hint="default" w:ascii="Times New Roman" w:hAnsi="Times New Roman" w:cs="Times New Roman"/>
          <w:b w:val="0"/>
          <w:bCs w:val="0"/>
          <w:color w:val="auto"/>
          <w:sz w:val="24"/>
          <w:szCs w:val="24"/>
          <w:highlight w:val="none"/>
          <w:lang w:val="en-US" w:eastAsia="zh-CN"/>
        </w:rPr>
        <w:t>二次反渗透</w:t>
      </w:r>
      <w:r>
        <w:rPr>
          <w:rFonts w:hint="default" w:ascii="Times New Roman" w:hAnsi="Times New Roman" w:cs="Times New Roman"/>
          <w:b w:val="0"/>
          <w:bCs w:val="0"/>
          <w:color w:val="auto"/>
          <w:sz w:val="24"/>
          <w:szCs w:val="24"/>
          <w:lang w:val="en-US" w:eastAsia="zh-CN"/>
        </w:rPr>
        <w:t>”，处理规模为48t/d。</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3.1.5.1项目产品方案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项目产品方案如下表所示：</w:t>
      </w:r>
    </w:p>
    <w:p>
      <w:pPr>
        <w:spacing w:line="360" w:lineRule="auto"/>
        <w:ind w:firstLine="480" w:firstLineChars="200"/>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val="en-US" w:eastAsia="zh-CN"/>
        </w:rPr>
        <w:t>表3-1  项目产品方案</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4"/>
        <w:gridCol w:w="2010"/>
        <w:gridCol w:w="2550"/>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4" w:type="dxa"/>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序号</w:t>
            </w:r>
          </w:p>
        </w:tc>
        <w:tc>
          <w:tcPr>
            <w:tcW w:w="2010"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产品名称</w:t>
            </w:r>
          </w:p>
        </w:tc>
        <w:tc>
          <w:tcPr>
            <w:tcW w:w="2550"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单位</w:t>
            </w:r>
          </w:p>
        </w:tc>
        <w:tc>
          <w:tcPr>
            <w:tcW w:w="2648"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4" w:type="dxa"/>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2010"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冲孔镀镍钢带</w:t>
            </w:r>
          </w:p>
        </w:tc>
        <w:tc>
          <w:tcPr>
            <w:tcW w:w="2550"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吨</w:t>
            </w:r>
          </w:p>
        </w:tc>
        <w:tc>
          <w:tcPr>
            <w:tcW w:w="2648"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4" w:type="dxa"/>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2010" w:type="dxa"/>
            <w:vAlign w:val="center"/>
          </w:tcPr>
          <w:p>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vertAlign w:val="baseline"/>
                <w:lang w:val="en-US" w:eastAsia="zh-CN"/>
              </w:rPr>
              <w:t>镀镍</w:t>
            </w:r>
            <w:r>
              <w:rPr>
                <w:rFonts w:hint="default" w:ascii="Times New Roman" w:hAnsi="Times New Roman" w:cs="Times New Roman"/>
                <w:b w:val="0"/>
                <w:bCs w:val="0"/>
                <w:color w:val="auto"/>
                <w:sz w:val="21"/>
                <w:szCs w:val="21"/>
                <w:lang w:val="en-US" w:eastAsia="zh-CN"/>
              </w:rPr>
              <w:t>钢壳</w:t>
            </w:r>
          </w:p>
        </w:tc>
        <w:tc>
          <w:tcPr>
            <w:tcW w:w="2550"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只</w:t>
            </w:r>
          </w:p>
        </w:tc>
        <w:tc>
          <w:tcPr>
            <w:tcW w:w="2648"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8000万</w:t>
            </w:r>
          </w:p>
        </w:tc>
      </w:tr>
    </w:tbl>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3.1.5.2项目生产工艺</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（1）冲孔镀镍钢带生产工艺流程</w:t>
      </w:r>
    </w:p>
    <w:p>
      <w:pPr>
        <w:numPr>
          <w:ilvl w:val="0"/>
          <w:numId w:val="0"/>
        </w:num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项目冲孔镀镍钢带生产线工艺详见下图。</w:t>
      </w:r>
    </w:p>
    <w:p>
      <w:pPr>
        <w:numPr>
          <w:ilvl w:val="0"/>
          <w:numId w:val="0"/>
        </w:num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0" o:spt="75" type="#_x0000_t75" style="height:148.5pt;width:429.65pt;" o:ole="t" filled="f" o:preferrelative="t" stroked="f" coordsize="21600,21600">
            <v:path/>
            <v:fill on="f" focussize="0,0"/>
            <v:stroke on="f"/>
            <v:imagedata r:id="rId24" o:title=""/>
            <o:lock v:ext="edit" aspectratio="t"/>
            <w10:wrap type="none"/>
            <w10:anchorlock/>
          </v:shape>
          <o:OLEObject Type="Embed" ProgID="Visio.Drawing.11" ShapeID="_x0000_i1030" DrawAspect="Content" ObjectID="_1468075730" r:id="rId23">
            <o:LockedField>false</o:LockedField>
          </o:OLEObject>
        </w:object>
      </w:r>
      <w:r>
        <w:rPr>
          <w:rFonts w:hint="default" w:ascii="Times New Roman" w:hAnsi="Times New Roman" w:cs="Times New Roman"/>
          <w:b w:val="0"/>
          <w:bCs w:val="0"/>
          <w:color w:val="auto"/>
          <w:sz w:val="24"/>
          <w:szCs w:val="24"/>
          <w:lang w:val="en-US" w:eastAsia="zh-CN"/>
        </w:rPr>
        <w:t>图3-3  冲孔镀镍钢带加工工艺流程图</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项目厂区设置1条冲孔镀镍钢带生产线，其工艺简述如下：</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①冲压成型：在厂内冲制车间中将外购的基材钢带进行冲压成型，冲压过程中会产生部分边角料S1。该部分边角料成分主要为废钢材，属于一般工业固体废物，在厂区收集后外售。</w:t>
      </w:r>
    </w:p>
    <w:p>
      <w:pPr>
        <w:numPr>
          <w:ilvl w:val="0"/>
          <w:numId w:val="0"/>
        </w:num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②脱脂：将工件使用滚筒装好浸入除油槽中，除油槽大小为2m×1m×1m，容水量约为1.8m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lang w:val="en-US" w:eastAsia="zh-CN"/>
        </w:rPr>
        <w:t>，在除油液的作用下，使工件表面粘附的油污脱离，并得以去除，防止因油污覆盖使工件导致漏镀。除油液为碱性除油液，其主要成分为40~60gLNaOH、30~50g/LNa</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CO</w:t>
      </w:r>
      <w:r>
        <w:rPr>
          <w:rFonts w:hint="default" w:ascii="Times New Roman" w:hAnsi="Times New Roman" w:cs="Times New Roman"/>
          <w:b w:val="0"/>
          <w:bCs w:val="0"/>
          <w:color w:val="auto"/>
          <w:sz w:val="24"/>
          <w:szCs w:val="24"/>
          <w:vertAlign w:val="subscript"/>
          <w:lang w:val="en-US" w:eastAsia="zh-CN"/>
        </w:rPr>
        <w:t>3</w:t>
      </w:r>
      <w:r>
        <w:rPr>
          <w:rFonts w:hint="default" w:ascii="Times New Roman" w:hAnsi="Times New Roman" w:cs="Times New Roman"/>
          <w:b w:val="0"/>
          <w:bCs w:val="0"/>
          <w:color w:val="auto"/>
          <w:sz w:val="24"/>
          <w:szCs w:val="24"/>
          <w:lang w:val="en-US" w:eastAsia="zh-CN"/>
        </w:rPr>
        <w:t>、15~30g/LNa</w:t>
      </w:r>
      <w:r>
        <w:rPr>
          <w:rFonts w:hint="default" w:ascii="Times New Roman" w:hAnsi="Times New Roman" w:cs="Times New Roman"/>
          <w:b w:val="0"/>
          <w:bCs w:val="0"/>
          <w:color w:val="auto"/>
          <w:sz w:val="24"/>
          <w:szCs w:val="24"/>
          <w:vertAlign w:val="subscript"/>
          <w:lang w:val="en-US" w:eastAsia="zh-CN"/>
        </w:rPr>
        <w:t>3</w:t>
      </w:r>
      <w:r>
        <w:rPr>
          <w:rFonts w:hint="default" w:ascii="Times New Roman" w:hAnsi="Times New Roman" w:cs="Times New Roman"/>
          <w:b w:val="0"/>
          <w:bCs w:val="0"/>
          <w:color w:val="auto"/>
          <w:sz w:val="24"/>
          <w:szCs w:val="24"/>
          <w:lang w:val="en-US" w:eastAsia="zh-CN"/>
        </w:rPr>
        <w:t>PO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lang w:val="en-US" w:eastAsia="zh-CN"/>
        </w:rPr>
        <w:t>和3~5g/LNa</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SiO</w:t>
      </w:r>
      <w:r>
        <w:rPr>
          <w:rFonts w:hint="default" w:ascii="Times New Roman" w:hAnsi="Times New Roman" w:cs="Times New Roman"/>
          <w:b w:val="0"/>
          <w:bCs w:val="0"/>
          <w:color w:val="auto"/>
          <w:sz w:val="24"/>
          <w:szCs w:val="24"/>
          <w:vertAlign w:val="subscript"/>
          <w:lang w:val="en-US" w:eastAsia="zh-CN"/>
        </w:rPr>
        <w:t>3</w:t>
      </w:r>
      <w:r>
        <w:rPr>
          <w:rFonts w:hint="default" w:ascii="Times New Roman" w:hAnsi="Times New Roman" w:cs="Times New Roman"/>
          <w:b w:val="0"/>
          <w:bCs w:val="0"/>
          <w:color w:val="auto"/>
          <w:sz w:val="24"/>
          <w:szCs w:val="24"/>
          <w:lang w:val="en-US" w:eastAsia="zh-CN"/>
        </w:rPr>
        <w:t>的混合溶液，除油槽内部设置电加热系统，可将槽内温度控制在60℃左右，在该温度下，除油槽中的水会产生蒸发散失，需要定期对除油槽进行补水，平均日补水量约为</w:t>
      </w:r>
      <w:r>
        <w:rPr>
          <w:rFonts w:hint="default" w:ascii="Times New Roman" w:hAnsi="Times New Roman" w:cs="Times New Roman"/>
          <w:b w:val="0"/>
          <w:bCs w:val="0"/>
          <w:color w:val="auto"/>
          <w:sz w:val="24"/>
          <w:szCs w:val="24"/>
          <w:vertAlign w:val="baseline"/>
          <w:lang w:val="en-US" w:eastAsia="zh-CN"/>
        </w:rPr>
        <w:t>10%</w:t>
      </w:r>
      <w:r>
        <w:rPr>
          <w:rFonts w:hint="default" w:ascii="Times New Roman" w:hAnsi="Times New Roman" w:cs="Times New Roman"/>
          <w:b w:val="0"/>
          <w:bCs w:val="0"/>
          <w:color w:val="auto"/>
          <w:sz w:val="24"/>
          <w:szCs w:val="24"/>
          <w:lang w:val="en-US" w:eastAsia="zh-CN"/>
        </w:rPr>
        <w:t>，除油槽中油脂在脱离工件后形成油渣浮于水面，定期使用工具刮除废油脂S2，收集后作为危废处理。（水量计算：脱脂槽容积1.8t，日常挥发量10%合计0.18t/d，刮去油脂量5%合计0.09t/d，补水量0.27t/d，循环水量1.53t。）</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③水洗：脱脂完成的工件送入水洗池内进行淋洗，去除表面的碱性除油液便于后续加工处理，淋洗用水为自来水，该部分清洗水少部分用于除油槽补水，其余部分经收集后排入项目厂区内1#污水处理站。（水量计算：清洗方式为喷淋，喷淋水流量为0.2t/h，喷淋水淋洗工件后落入水槽内，日清洗时长约为6h，用水量为1.2t/d，清洗过程中有10%的水化为水蒸气挥发，挥发量约为0.12t/d，收集的洗水为1.08t/d，该部分水中0.27t/d用于脱脂槽补水，剩余0.81t/d直接排入1#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④酸洗：除油完成的工件进入酸洗池进行酸洗，利用低浓度硫酸将工件表层活性化，便于后续镀镍处理。酸洗时间4~5min，单个酸洗池大小为1m×1m×1m，容积为约为0.85m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vertAlign w:val="baseline"/>
          <w:lang w:val="en-US" w:eastAsia="zh-CN"/>
        </w:rPr>
        <w:t>，</w:t>
      </w:r>
      <w:r>
        <w:rPr>
          <w:rFonts w:hint="default" w:ascii="Times New Roman" w:hAnsi="Times New Roman" w:cs="Times New Roman"/>
          <w:b w:val="0"/>
          <w:bCs w:val="0"/>
          <w:color w:val="auto"/>
          <w:sz w:val="24"/>
          <w:szCs w:val="24"/>
          <w:lang w:val="en-US" w:eastAsia="zh-CN"/>
        </w:rPr>
        <w:t>酸洗池酸液兑料为95%的浓硫酸，兑入酸洗池后浓度约为3~5%，浓硫酸每日使用量约为0.5~0.6kg，酸洗池中酸液每7天更换一次，酸洗废水经排水槽排入1#污水处理系统进行处理。（水量计算：酸洗槽容水量0.85t，配出的酸洗液每7天更换一次，折合废水产生量为0.12t/d，收集后直接排入1#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⑤水洗：酸洗完成的工件进入后续水洗池中进行喷淋清洗，该处清洗用水为纯水，水洗槽大小为0.7m×1m×1m，该部分清洗水经收集后排入项目厂区内1#污水处理站。（水量计算：清洗方式为喷淋，喷淋水流量为0.2t/h，喷淋水淋洗工件后落入水槽内，日清洗时长约为6h，用水量为1.2t/d，清洗过程中有10%的水化为水蒸气挥发，挥发量约为0.12t/d，收集的洗水为1.08t/d，直接排入1#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⑥镀镍：电镀镍采用镍板为阳极，电镀液主要成分为240~280g/L硫酸镍、45-60g/L氯化镍等，利用电场作用完成预镀镍操作。工艺条件为PH4.0-4.5、温度一般控制在45~50℃（采用电加热），阴极电流密度3-4A（dm</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为保证电镀产品质量，电镀槽内的镀液需要进行定期进行过滤，过滤时使用过滤棉作为过滤介质，在压力的作用下使镀液通过过滤棉滤出，固体颗粒截留在过滤棉表面形成滤渣，在此过程中将产生废过滤器滤芯S3。电镀液在电加热的情况下会有部分水蒸气挥发，经后续镍回收的含镍混合水补充后循环使用不外排。（水量计算：电镀槽容水量为5.6t，在电加热情况下有部分电镀水蒸发，日常蒸发量约为20%合计1.12t/d，该部分蒸发量使用后续镍回收的水来补充，电镀槽每4个月清理过滤一次，过滤后滤出少量的固体含镍废渣，滤出后的水仍回用于电镀槽，不涉及废水外排。）</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电极反应原理如下：</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阴极反应：                    阳极反应：</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Ni</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+2e=Ni                   Ni-2e+SO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=NiSO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lang w:val="en-US" w:eastAsia="zh-CN"/>
        </w:rPr>
        <w:t>→Ni</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+SO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vertAlign w:val="superscript"/>
          <w:lang w:val="en-US" w:eastAsia="zh-CN"/>
        </w:rPr>
        <w:t>2-</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2H+2e=H</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                  4OH</w:t>
      </w:r>
      <w:r>
        <w:rPr>
          <w:rFonts w:hint="default" w:ascii="Times New Roman" w:hAnsi="Times New Roman" w:cs="Times New Roman"/>
          <w:b w:val="0"/>
          <w:bCs w:val="0"/>
          <w:color w:val="auto"/>
          <w:sz w:val="24"/>
          <w:szCs w:val="24"/>
          <w:vertAlign w:val="superscript"/>
          <w:lang w:val="en-US" w:eastAsia="zh-CN"/>
        </w:rPr>
        <w:t>-</w:t>
      </w:r>
      <w:r>
        <w:rPr>
          <w:rFonts w:hint="default" w:ascii="Times New Roman" w:hAnsi="Times New Roman" w:cs="Times New Roman"/>
          <w:b w:val="0"/>
          <w:bCs w:val="0"/>
          <w:color w:val="auto"/>
          <w:sz w:val="24"/>
          <w:szCs w:val="24"/>
          <w:lang w:val="en-US" w:eastAsia="zh-CN"/>
        </w:rPr>
        <w:t>-4e=O</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↑+H</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O</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⑦镍回收：经镀镍处理的工件浸入内置新水的镍回收槽中，将工件表面沾染的电镀液洗脱进入水中，后将洗脱工序再重复一次，经过两道镍回收清洗后，工件表面沾染的电镀液可回收98%以上，回收后的含镍混合水作为电镀液补充水加入电镀槽内，可被完全消耗。（水量计算：镍回收水池的回收机制为浸洗洗脱，回收水槽容水量为0.48t，在镍回收过程中钢壳先后经过两个回收水池，总容水量0.96t，在镍回收过程中电池钢壳和车间内部温度较高，回收水部分挥发量，按照0.096t/d，回收的含镍混合水每三天回用一次，将回收的含镍混合水回用至电镀槽，回用水量为0.224t/d。电镀工序日常补水需求为1.12t/d，可将该部分水完全消耗。）</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⑧水洗：电镀经过镍回收工序的工件进入三道水洗工序，1道喷淋，2道浸洗，洗去表面沾染的镀液，单个水洗池大小为0.6m×1m×1m，容水量0.48m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lang w:val="en-US" w:eastAsia="zh-CN"/>
        </w:rPr>
        <w:t>，喷淋水流量约为0.2m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lang w:val="en-US" w:eastAsia="zh-CN"/>
        </w:rPr>
        <w:t>/h，浸洗水每三天更换一次。该部分水均属于含镍废水，经收集后排入项目厂区内2#污水处理站。（水量计算：镍回收以后电池钢壳需要经过三道水洗工序，水洗方式为一道喷淋，两道浸洗，喷淋水流量为0.2t/h，喷淋水淋洗工件后落入水槽内，日清洗时长约为6h，用水量为1.2t/d，清洗过程中有10%的水化为水蒸气挥发，挥发量约为0.12t/d，收集的喷淋洗水为1.08t/d。浸洗池容量为0.48t，两个浸洗池合计容量0.96t，浸洗过程中会产生约10%的日常挥发量，计挥发量为0.096t/d，剩余部分水作为含镍废水处理，浸洗水每三天更换一次，产废折算为0.224t/d。汇总前述喷淋水用量，该部分水洗用水量为1.52t/d，挥发量0.216t/d，废水量1.304t/d。该部分废水属于含镍废水，经收集后进入2#污水处理站进行处理，处理后仍回用于本工序，不外排。）</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⑨烘干：纯水浸洗后的工件进入干燥工序，干燥设备为电烘箱，电烘箱大小为2.5m×1m×1m，工件进入电烘箱后使用电加热烘烤将工件表面沾染的水分干燥去除。</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（2）镀镍钢壳生产工艺流程</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项目设置两条镀镍电池钢壳生产线，其生产工艺一致，设备参数有所差异。工艺详见下图。</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1" o:spt="75" type="#_x0000_t75" style="height:221.35pt;width:428.6pt;" o:ole="t" filled="f" o:preferrelative="t" stroked="f" coordsize="21600,21600">
            <v:path/>
            <v:fill on="f" focussize="0,0"/>
            <v:stroke on="f"/>
            <v:imagedata r:id="rId26" o:title=""/>
            <o:lock v:ext="edit" aspectratio="t"/>
            <w10:wrap type="none"/>
            <w10:anchorlock/>
          </v:shape>
          <o:OLEObject Type="Embed" ProgID="Visio.Drawing.11" ShapeID="_x0000_i1031" DrawAspect="Content" ObjectID="_1468075731" r:id="rId25">
            <o:LockedField>false</o:LockedField>
          </o:OLEObject>
        </w:object>
      </w:r>
      <w:r>
        <w:rPr>
          <w:rFonts w:hint="default" w:ascii="Times New Roman" w:hAnsi="Times New Roman" w:cs="Times New Roman"/>
          <w:b w:val="0"/>
          <w:bCs w:val="0"/>
          <w:color w:val="auto"/>
          <w:sz w:val="24"/>
          <w:szCs w:val="24"/>
          <w:lang w:val="en-US" w:eastAsia="zh-CN"/>
        </w:rPr>
        <w:t>图3-3   电池钢壳加工工艺流程图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工艺流程简述：</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项目厂区设置有2条镀镍电池钢壳的生产线，其设备参数有所区分，现将其中较小的生产线命名为1#线，较大的生产线命名为2#线。</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①冲压成型：在厂内冲制车间中将外购的基材钢带进行冲压成型，冲压过程中会产生部分边角料S1。该部分边角料成分主要为废钢材，属于一般工业固体废物，在厂区收集后外售。</w:t>
      </w:r>
    </w:p>
    <w:p>
      <w:pPr>
        <w:numPr>
          <w:ilvl w:val="0"/>
          <w:numId w:val="0"/>
        </w:num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②脱脂：将电池钢壳使用滚筒装好浸入除油槽中，在除油液的作用下，使电池钢壳表面粘附的油污脱离，并得以去除，防止因油污覆盖使工件导致漏镀。除油液为碱性除油液，其主要成分为40~60gLNaOH、30~50g/LNa</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CO</w:t>
      </w:r>
      <w:r>
        <w:rPr>
          <w:rFonts w:hint="default" w:ascii="Times New Roman" w:hAnsi="Times New Roman" w:cs="Times New Roman"/>
          <w:b w:val="0"/>
          <w:bCs w:val="0"/>
          <w:color w:val="auto"/>
          <w:sz w:val="24"/>
          <w:szCs w:val="24"/>
          <w:vertAlign w:val="subscript"/>
          <w:lang w:val="en-US" w:eastAsia="zh-CN"/>
        </w:rPr>
        <w:t>3</w:t>
      </w:r>
      <w:r>
        <w:rPr>
          <w:rFonts w:hint="default" w:ascii="Times New Roman" w:hAnsi="Times New Roman" w:cs="Times New Roman"/>
          <w:b w:val="0"/>
          <w:bCs w:val="0"/>
          <w:color w:val="auto"/>
          <w:sz w:val="24"/>
          <w:szCs w:val="24"/>
          <w:lang w:val="en-US" w:eastAsia="zh-CN"/>
        </w:rPr>
        <w:t>、15~30g/LNa</w:t>
      </w:r>
      <w:r>
        <w:rPr>
          <w:rFonts w:hint="default" w:ascii="Times New Roman" w:hAnsi="Times New Roman" w:cs="Times New Roman"/>
          <w:b w:val="0"/>
          <w:bCs w:val="0"/>
          <w:color w:val="auto"/>
          <w:sz w:val="24"/>
          <w:szCs w:val="24"/>
          <w:vertAlign w:val="subscript"/>
          <w:lang w:val="en-US" w:eastAsia="zh-CN"/>
        </w:rPr>
        <w:t>3</w:t>
      </w:r>
      <w:r>
        <w:rPr>
          <w:rFonts w:hint="default" w:ascii="Times New Roman" w:hAnsi="Times New Roman" w:cs="Times New Roman"/>
          <w:b w:val="0"/>
          <w:bCs w:val="0"/>
          <w:color w:val="auto"/>
          <w:sz w:val="24"/>
          <w:szCs w:val="24"/>
          <w:lang w:val="en-US" w:eastAsia="zh-CN"/>
        </w:rPr>
        <w:t>PO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lang w:val="en-US" w:eastAsia="zh-CN"/>
        </w:rPr>
        <w:t>和3~5g/LNa</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SiO</w:t>
      </w:r>
      <w:r>
        <w:rPr>
          <w:rFonts w:hint="default" w:ascii="Times New Roman" w:hAnsi="Times New Roman" w:cs="Times New Roman"/>
          <w:b w:val="0"/>
          <w:bCs w:val="0"/>
          <w:color w:val="auto"/>
          <w:sz w:val="24"/>
          <w:szCs w:val="24"/>
          <w:vertAlign w:val="subscript"/>
          <w:lang w:val="en-US" w:eastAsia="zh-CN"/>
        </w:rPr>
        <w:t>3</w:t>
      </w:r>
      <w:r>
        <w:rPr>
          <w:rFonts w:hint="default" w:ascii="Times New Roman" w:hAnsi="Times New Roman" w:cs="Times New Roman"/>
          <w:b w:val="0"/>
          <w:bCs w:val="0"/>
          <w:color w:val="auto"/>
          <w:sz w:val="24"/>
          <w:szCs w:val="24"/>
          <w:lang w:val="en-US" w:eastAsia="zh-CN"/>
        </w:rPr>
        <w:t>的混合溶液，除油槽内部设置电加热系统，可将槽内温度控制在60℃左右，在该温度下，除油槽中的水会产生蒸发散失，需要定期对除油槽进行补水，平均日补水量约为</w:t>
      </w:r>
      <w:r>
        <w:rPr>
          <w:rFonts w:hint="default" w:ascii="Times New Roman" w:hAnsi="Times New Roman" w:cs="Times New Roman"/>
          <w:b w:val="0"/>
          <w:bCs w:val="0"/>
          <w:color w:val="auto"/>
          <w:sz w:val="24"/>
          <w:szCs w:val="24"/>
          <w:vertAlign w:val="baseline"/>
          <w:lang w:val="en-US" w:eastAsia="zh-CN"/>
        </w:rPr>
        <w:t>10%</w:t>
      </w:r>
      <w:r>
        <w:rPr>
          <w:rFonts w:hint="default" w:ascii="Times New Roman" w:hAnsi="Times New Roman" w:cs="Times New Roman"/>
          <w:b w:val="0"/>
          <w:bCs w:val="0"/>
          <w:color w:val="auto"/>
          <w:sz w:val="24"/>
          <w:szCs w:val="24"/>
          <w:lang w:val="en-US" w:eastAsia="zh-CN"/>
        </w:rPr>
        <w:t>，除油槽中油脂在脱离钢壳后形成油渣浮于水面，定期使用工具刮除废油脂S2，收集后作为危废处理。（1#线水量计算：脱脂槽数量15个，大小0.9m×1.8m×1m，总容水量19.5t，日常挥发量10%合计1.95t/d，刮去油脂量5%合计0.975t/d，补水量2.925t/d，循环水量16.575t。2#线水量计算：脱脂槽数量10个，大小1m×1.7m×1m，总容水量13.6t，日常挥发量10%合计1.36t/d，刮去油脂量5%合计0.68t/d，补水量2.04t/d，循环水量11.56t。）</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③水洗：脱脂完成的钢壳送入水洗池内进行清洗，去除表面的碱性除油液便于后续加工处理，该处设置水洗工序4道，2道淋洗，2道浸洗，用水为自来水，该部分清洗水经收集后回用于除油槽补水，可全部被消耗，不外排。（1#线水量计算：两个喷淋水槽水流量合计为0.4t/h，喷淋水淋洗工件后落入水槽内，日清洗时长约为6h，用水量为2.4t/d，清洗过程中有10%的水化为水蒸气挥发，挥发量约为0.24t/d，收集的喷淋洗水为2.16t/d。浸洗水池大小为0.7m×1.8m×1m，两个水池总容水量约为2t，浸洗过程中会产生约10%的日常挥发量，计挥发量为0.2t/d，浸洗水每两天更换一次，产废折算为0.8t/d。汇总喷淋水使用情况，则项目1#线脱脂后水洗工序用水量约为3.4t/d，蒸发量0.44t/d，产废量2.96t/d。该部分产废中2.925t/d用于脱脂槽补水，剩余0.035t/d直接排入1#污水处理站。2#线水量计算：项目2#线喷淋水流量合计为0.4t/h，浸洗池大小为0.8m×1.7m×1m，合计容水量2.176t，计算后2#线脱脂后水洗工序用水量约为3.488t/d，蒸发量0.4576t/d，产废量3.0304t/d。该部分产废中2.04t/d用于脱脂槽补水，剩余0.9904t/d直接排入1#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④酸洗：除油完成的钢壳进入酸洗池进行酸洗，利用低浓度硫酸将钢壳表层活性化，便于后续镀镍处理。酸洗时间4~5min</w:t>
      </w:r>
      <w:r>
        <w:rPr>
          <w:rFonts w:hint="default" w:ascii="Times New Roman" w:hAnsi="Times New Roman" w:cs="Times New Roman"/>
          <w:b w:val="0"/>
          <w:bCs w:val="0"/>
          <w:color w:val="auto"/>
          <w:sz w:val="24"/>
          <w:szCs w:val="24"/>
          <w:vertAlign w:val="baseline"/>
          <w:lang w:val="en-US" w:eastAsia="zh-CN"/>
        </w:rPr>
        <w:t>，</w:t>
      </w:r>
      <w:r>
        <w:rPr>
          <w:rFonts w:hint="default" w:ascii="Times New Roman" w:hAnsi="Times New Roman" w:cs="Times New Roman"/>
          <w:b w:val="0"/>
          <w:bCs w:val="0"/>
          <w:color w:val="auto"/>
          <w:sz w:val="24"/>
          <w:szCs w:val="24"/>
          <w:lang w:val="en-US" w:eastAsia="zh-CN"/>
        </w:rPr>
        <w:t>酸洗池酸液兑料为95%的浓硫酸，兑入酸洗池后浓度约为3~5%，酸洗池中酸液每7天更换一次，酸洗废水经排水槽排入1#污水处理系统进行处理。（1#线水量计算：酸洗水槽数量2个，交替使用，视为一个进行水量核算，水槽大小0.7m×1.8m×1m，酸洗槽容水量1t，配出的酸洗液每7天更换一次，折合废水产生量为0.14t/d，收集后直接排入1#污水处理站。2#线水量计算：酸洗水槽数量2个，交替使用，视为一个进行水量核算，水槽大小0.8m×1.7m×1m，酸洗槽容水量1.1t，配出的酸洗液每7天更换一次，折合废水产生量为0.157t/d，收集后直接排入1#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⑤水洗：酸洗完成的钢壳进入后续水洗池中进行喷淋清洗，该处清洗用水为纯水，该部分清洗水经收集后排入项目厂区内1#污水处理站。（1#线水量计算：清洗方式为喷淋，喷淋水流量合计为0.2t/h，喷淋水淋洗工件后落入水槽内，日清洗时长约为6h，用水量为1.2t/d，清洗过程中有10%的水化为水蒸气挥发，挥发量约为0.12t/d，收集的洗水为1.08t/d，直接排入1#污水处理站。2#线水量计算：清洗方式为喷淋，喷淋水流量合计为0.2t/h，喷淋水淋洗工件后落入水槽内，日清洗时长约为6h，用水量为1.2t/d，清洗过程中有10%的水化为水蒸气挥发，挥发量约为0.12t/d，收集的洗水为1.08t/d，直接排入1#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⑥镀镍：电镀镍采用镍板为阳极，电镀液主要成分为240~280g/L硫酸镍、45-60g/L氯化镍等，利用电场作用完成预镀镍操作。工艺条件为PH4.0-4.5、温度一般控制在45~50℃（采用电加热），阴极电流密度3-4A（dm</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为保证电镀产品质量，电镀槽内的镀液需要进行定期进行过滤，过滤时使用过滤棉作为过滤介质，在压力的作用下使镀液通过过滤棉滤出，固体颗粒截留在过滤棉表面形成滤渣，在此过程中将产生废过滤器滤芯S3。电镀液在电加热的情况下会有部分水蒸气挥发，经后续镍回收的含镍混合水补充后循环使用不外排。（1#线水量计算：电镀槽容水量合计为27.4t，在电加热情况下有部分电镀水蒸发，日常蒸发量约为20%合计5.48t/d。2#线水量计算：电镀槽容水量合计为20.7t，在电加热情况下有部分电镀水蒸发，日常蒸发量约为20%合计4.14t/d。）</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电极反应原理如下：</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阴极反应：                    阳极反应：</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Ni</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+2e=Ni                   Ni-2e+SO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=NiSO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lang w:val="en-US" w:eastAsia="zh-CN"/>
        </w:rPr>
        <w:t>→Ni</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+SO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vertAlign w:val="superscript"/>
          <w:lang w:val="en-US" w:eastAsia="zh-CN"/>
        </w:rPr>
        <w:t>2-</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2H+2e=H</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                  4OH</w:t>
      </w:r>
      <w:r>
        <w:rPr>
          <w:rFonts w:hint="default" w:ascii="Times New Roman" w:hAnsi="Times New Roman" w:cs="Times New Roman"/>
          <w:b w:val="0"/>
          <w:bCs w:val="0"/>
          <w:color w:val="auto"/>
          <w:sz w:val="24"/>
          <w:szCs w:val="24"/>
          <w:vertAlign w:val="superscript"/>
          <w:lang w:val="en-US" w:eastAsia="zh-CN"/>
        </w:rPr>
        <w:t>-</w:t>
      </w:r>
      <w:r>
        <w:rPr>
          <w:rFonts w:hint="default" w:ascii="Times New Roman" w:hAnsi="Times New Roman" w:cs="Times New Roman"/>
          <w:b w:val="0"/>
          <w:bCs w:val="0"/>
          <w:color w:val="auto"/>
          <w:sz w:val="24"/>
          <w:szCs w:val="24"/>
          <w:lang w:val="en-US" w:eastAsia="zh-CN"/>
        </w:rPr>
        <w:t>-4e=O</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↑+H</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O</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⑦镍回收：经镀镍处理的钢壳浸入内置新水的镍回收槽中，将钢壳表面沾染的电镀液洗脱进入水中，后将洗脱工序再重复一次，经过两道镍回收清洗后，钢壳表面沾染的电镀液可回收98%以上，回收后的含镍混合水作为电镀液补充水加入电镀槽内，可被完全消耗。（1#线水量计</w:t>
      </w:r>
      <w:r>
        <w:rPr>
          <w:rFonts w:hint="default" w:ascii="Times New Roman" w:hAnsi="Times New Roman" w:cs="Times New Roman"/>
          <w:b w:val="0"/>
          <w:bCs w:val="0"/>
          <w:color w:val="auto"/>
          <w:sz w:val="24"/>
          <w:szCs w:val="24"/>
          <w:highlight w:val="none"/>
          <w:lang w:val="en-US" w:eastAsia="zh-CN"/>
        </w:rPr>
        <w:t>算：镍回收水池的回收机制为浸洗洗脱，回收水槽容水量为1t，在镍回收过程中钢壳先后经过两个回收水池，总容水量2t，在镍回收过程中电池钢壳和车间内部温度较高，回收水部分挥发量，按照0.2t/d，回收的含镍混合水每三天回用</w:t>
      </w:r>
      <w:r>
        <w:rPr>
          <w:rFonts w:hint="default" w:ascii="Times New Roman" w:hAnsi="Times New Roman" w:cs="Times New Roman"/>
          <w:b w:val="0"/>
          <w:bCs w:val="0"/>
          <w:color w:val="auto"/>
          <w:sz w:val="24"/>
          <w:szCs w:val="24"/>
          <w:lang w:val="en-US" w:eastAsia="zh-CN"/>
        </w:rPr>
        <w:t>一次，将回收的含镍混合水回用至电镀槽，回用水量为0.47t/d。1#线电镀工序日常补水需求为5.48t/d，可将该部分水完全消耗。2#线水量计</w:t>
      </w:r>
      <w:r>
        <w:rPr>
          <w:rFonts w:hint="default" w:ascii="Times New Roman" w:hAnsi="Times New Roman" w:cs="Times New Roman"/>
          <w:b w:val="0"/>
          <w:bCs w:val="0"/>
          <w:color w:val="auto"/>
          <w:sz w:val="24"/>
          <w:szCs w:val="24"/>
          <w:highlight w:val="none"/>
          <w:lang w:val="en-US" w:eastAsia="zh-CN"/>
        </w:rPr>
        <w:t>算：2#线回收水槽容水量为1.1t，在镍回收过程中钢壳先后经过两个回收水池，总容水量2.2t，在镍回收过程中电池钢壳和车间内部温度较高，回收水部分挥发量，按照0.22t/d，回收的含镍混合水每三天回用</w:t>
      </w:r>
      <w:r>
        <w:rPr>
          <w:rFonts w:hint="default" w:ascii="Times New Roman" w:hAnsi="Times New Roman" w:cs="Times New Roman"/>
          <w:b w:val="0"/>
          <w:bCs w:val="0"/>
          <w:color w:val="auto"/>
          <w:sz w:val="24"/>
          <w:szCs w:val="24"/>
          <w:lang w:val="en-US" w:eastAsia="zh-CN"/>
        </w:rPr>
        <w:t>一次，将回收的含镍混合水回用至电镀槽，回用水量为0.51t/d。2#线电镀工序日常补水需求为4.14t/d，可将该部分水完全消耗。）</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⑧水洗：电镀经过镍回收工序的钢壳进入一道水洗工序，清洗水为纯水，清洗方式为浸洗，浸洗水每三天更换一次，经收集后排入项目厂区内2#污水处理站。（1#线水量计算：1#线设置浸洗水池1个，大小为0.7m×1.8m×1m，水池容水量约为1t，浸洗过程中会产生约10%的日常挥发量，计挥发量为0.1t/d，浸洗水每三天更换一次，产废折算为0.23t/d。2#线水量计算：2#线设置浸洗水池1个，大小为0.8m×1.7m×1m，水池容水量约为1.1t，浸洗过程中会产生约10%的日常挥发量，计挥发量为0.11t/d，浸洗水每三天更换一次，产废折算为0.26t/d。该部分废水属于含镍废水，经收集后排入厂区内2#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⑨漂白：镀镍完成的电池钢壳进入漂白池中，添加食用级柠檬酸进行漂白，使工件表面光亮美白，柠檬酸使用量为25kg/d，电镀生产线中设置2个漂白池进行交替使用，单个漂白池每2天更换一次漂白水，该部分废水经排水槽排入2#污水处理系统进行处理。（1#线水量计算：漂白水槽数量2个，交替使用，视为一个进行水量核算，水槽大小0.7m×1.8m×1m，漂白槽容水量1t，日常挥发量按10%，配出的漂白液每2天更换一次，折合废水产生量为0.4t/d，收集后直接排入1#污水处理站。2#线水量计算：漂白水槽数量2个，交替使用，视为一个进行水量核算，水槽大小0.8m×1.7m×1m，酸洗槽容水量1.1t，日常挥发量按10%，配出的漂白液每2天更换一次，折合废水产生量为0.55t/d，收集后直接排入1#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⑩水洗：漂白完成后的钢壳进入清洗池进行淋洗，喷淋水流量为0.15m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lang w:val="en-US" w:eastAsia="zh-CN"/>
        </w:rPr>
        <w:t>/h，该部分废水经收集后排入2#污水处理系统进行处理。（1#线水量计算：清洗方式为喷淋，喷淋水流量合计为0.15t/h，喷淋水淋洗工件后落入水槽内，日清洗时长约为6h，用水量为0.9t/d，清洗过程中有10%的水化为水蒸气挥发，挥发量约为0.09t/d，收集的洗水为0.81t/d，直接排入2#污水处理站。2#线水量计算：清洗方式为喷淋，喷淋水流量合计为0.15t/h，喷淋水淋洗工件后落入水槽内，日清洗时长约为6h，用水量为0.9t/d，清洗过程中有10%的水化为水蒸气挥发，挥发量约为0.09t/d，收集的洗水为0.81t/d，直接排入2#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⑪中和：经过漂白处理的电池钢壳表面呈酸性，在中和池中投加碱液对其PH进行调整，便于后续钝化处理，电镀生产线中设置2个中和池进行交替使用，单个中和池每2天更换一次中和水，该部分废水经排水槽排入2#污水处理系统进行处理。（1#线水量计算：中和水槽数量2个，交替使用，视为一个进行水量核算，水槽大小0.7m×1.8m×1m，中和槽容水量1t，日常挥发量10%，配出的中和液每2天更换一次，折合废水产生量为0.4t/d，收集后直接排入1#污水处理站。2#线水量计算：中和水槽数量2个，交替使用，视为一个进行水量核算，水槽大小0.8m×1.7m×1m，酸洗槽容水量1.1t，日常挥发量10%，配出的中和液每2天更换一次，折合废水产生量为0.44t/d，收集后直接排入1#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⑫水洗：中和后进行水洗，去除表面中和剂，该处使用的清洗水为后续二次中和产生的清洗废水，经核算水量，二次中和产生的清洗废水可以满足该处清洗水量要求，该处清洗后产生的废水属于含镍废水，更换周期为2d，经收集后排入2#污水处理系统进行处理。（1#线水量计算：1#线设置浸洗水池1个，大小为0.7m×1.8m×1m，水池容水量约为1t，浸洗过程中会产生约10%的日常挥发量，计挥发量为0.1t/d，浸洗水每两天更换一次，产废折算为0.4t/d。2#线水量计算：2#线设置浸洗水池1个，大小为0.8m×1.7m×1m，水池容水量约为1.1t，浸洗过程中会产生约10%的日常挥发量，计挥发量为0.11t/d，浸洗水每两天更换一次，产废折算为0.44t/d。该部分废水属于含镍废水，经收集后排入厂区内2#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⑬钝化：将电池钢壳浸入到钝化槽进行钝化处理，本项目采用环保型无铬钝化液，钝化液主要成分为三聚磷酸钠、氟化镁、磷酸、盐酸、硝酸钠。钝化槽不断补加钝化液后循环使用，钝化液经长时间使用效率会降低，钝化槽废水每5天更换清洗一次，清洗废水经排水槽排入2#污水处理系统进行处理。（1#线水量计算：1#线钝化水槽1个，大小为0.7m×1.8m×1m，水池容水量约为1t，钝化过程中会产生约10%的日常挥发量，计挥发量为0.1t/d，钝化水每5天更换一次，日常补水0.1t/d，产废折算为0.2t/d。2#线水量计算：2#线钝化水槽1个，大小为0.8m×1.7m×1m，水池容水量约为1.1t，钝化过程中会产生约10%的日常挥发量，计挥发量为0.11t/d，钝化水每5天更换一次，日常补水0.11t/d，产废折算为0.22t/d。该部分废水属于含镍废水，经收集后排入厂区内2#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⑭水洗：完成钝化处理的工件送入水洗槽中淋洗，清洗水为纯水，清洗掉工件表面残留的钝化液。钝化后水洗过程中产生废水进入2#污水处理系统处理。（1#线水量计算：清洗方式为喷淋，喷淋水流量合计为0.15t/h，喷淋水淋洗工件后落入水槽内，日清洗时长约为6h，用水量为0.9t/d，清洗过程中有10%的水化为水蒸气挥发，挥发量约为0.09t/d，收集的洗水为0.81t/d，直接排入2#污水处理站。2#线水量计算：清洗方式为喷淋，喷淋水流量合计为0.15t/h，喷淋水淋洗工件后落入水槽内，日清洗时长约为6h，用水量为0.9t/d，清洗过程中有10%的水化为水蒸气挥发，挥发量约为0.09t/d，收集的洗水为0.81t/d，直接排入2#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⑮中和：钝化完成的工件表面呈酸性，与空气接触时间过长易于氧化生锈，调节工件表面PH值，将工件浸入中和池进行PH调整，中和池内中和液为NaOH的稀溶液，浸泡中和后可使工件表面呈碱性，中和池每2天更换清洗一次，清洗废水经排水槽排入2#污水处理系统进行处理。（1#线水量计算：中和水槽数量2个，交替使用，视为一个进行水量核算，水槽大小0.7m×1.8m×1m，中和槽容水量1t，日常挥发量10%，配出的中和液每2天更换一次，折合废水产生量为0.4t/d，收集后直接排入1#污水处理站。2#线水量计算：中和水槽数量2个，交替使用，视为一个进行水量核算，水槽大小0.8m×1.7m×1m，酸洗槽容水量1.1t，日常挥发量10%，配出的中和液每2天更换一次，折合废水产生量为0.44t/d，收集后直接排入1#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⑯水洗：钢壳进入清洗池进行喷淋清洗，清洗水为纯水，流量0.15m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lang w:val="en-US" w:eastAsia="zh-CN"/>
        </w:rPr>
        <w:t>/h，洗去表面沾染的化学试剂，清洗废水经排水槽排入2#污水处理系统进行处理。（1#线水量计算：清洗方式为喷淋，喷淋水流量合计为0.15t/h，喷淋水淋洗工件后落入水槽内，日清洗时长约为6h，用水量为0.9t/d，清洗过程中有10%的水化为水蒸气挥发，挥发量约为0.09t/d，收集的洗水为0.81t/d，直接排入2#污水处理站。2#线水量计算：清洗方式为喷淋，喷淋水流量合计为0.15t/h，喷淋水淋洗工件后落入水槽内，日清洗时长约为6h，用水量为0.9t/d，清洗过程中有10%的水化为水蒸气挥发，挥发量约为0.09t/d，收集的洗水为0.81t/d，直接排入2#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⑰保护：为了延长工件的使用寿命，降低日常腐蚀，需要在工件表面生成一层保护膜，保护池中添加封闭剂作为反应耗材，使工件表面镀上一层保护膜。保护池设置3道水池依次进行，每2天更换其中一个水槽，后续两个水槽依次向前添加挪用，即6天更换一次全部保护水槽。更换的废水经排水槽排入2#污水处理系统进行处理。（1#线水量计算：1#线设置3个保护池，依次使用，水槽大小0.7m×1.8m×1m，容水量1t，日常挥发量按10%，该部分挥发每日补水补足，根据使用情况，按照6天更换一次进行水量核算，则产生的废水折算为0.5t/d。2#线水量计算：2#线设置3个保护池，依次使用，水槽大小0.8m×1.7m×1m，容水量1.1t，日常挥发量按10%，该部分挥发每日补水补足，根据使用情况，按照6天更换一次进行水量核算，则产生的废水折算为0.55t/d。更换产生的废水属于含镍废水，经排水槽排入2#污水处理站。）</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⑱干燥：钢壳从保护池内捞出后经机械甩干去除表面大部分水分，然后送入电烘箱使用电加热烤干钢壳进行干燥。</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⑲成品入库：干燥后的电池钢壳包装入库待售。</w:t>
      </w:r>
    </w:p>
    <w:p>
      <w:pPr>
        <w:spacing w:line="360" w:lineRule="auto"/>
        <w:ind w:firstLine="480" w:firstLineChars="200"/>
        <w:jc w:val="left"/>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3.1.5.3项目产品产量</w:t>
      </w:r>
    </w:p>
    <w:p>
      <w:pPr>
        <w:spacing w:line="360" w:lineRule="auto"/>
        <w:ind w:firstLine="480" w:firstLineChars="200"/>
        <w:jc w:val="left"/>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根据现状调查，企业近三年产品产量见表3-2。</w:t>
      </w:r>
    </w:p>
    <w:p>
      <w:pPr>
        <w:spacing w:line="360" w:lineRule="auto"/>
        <w:ind w:firstLine="480" w:firstLineChars="200"/>
        <w:jc w:val="center"/>
        <w:rPr>
          <w:rFonts w:hint="default" w:ascii="Times New Roman" w:hAnsi="Times New Roman" w:cs="Times New Roman"/>
          <w:sz w:val="24"/>
          <w:u w:val="none"/>
        </w:rPr>
      </w:pPr>
      <w:r>
        <w:rPr>
          <w:rFonts w:hint="default" w:ascii="Times New Roman" w:hAnsi="Times New Roman" w:cs="Times New Roman"/>
          <w:b w:val="0"/>
          <w:bCs w:val="0"/>
          <w:color w:val="auto"/>
          <w:sz w:val="24"/>
          <w:szCs w:val="24"/>
          <w:u w:val="none"/>
          <w:lang w:val="en-US" w:eastAsia="zh-CN"/>
        </w:rPr>
        <w:t>表3-2  企业近三年主要产品情况表</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891"/>
        <w:gridCol w:w="672"/>
        <w:gridCol w:w="846"/>
        <w:gridCol w:w="1018"/>
        <w:gridCol w:w="1092"/>
        <w:gridCol w:w="1119"/>
        <w:gridCol w:w="1090"/>
        <w:gridCol w:w="109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restart"/>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序号</w:t>
            </w:r>
          </w:p>
        </w:tc>
        <w:tc>
          <w:tcPr>
            <w:tcW w:w="891" w:type="dxa"/>
            <w:vMerge w:val="restart"/>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产品名称</w:t>
            </w:r>
          </w:p>
        </w:tc>
        <w:tc>
          <w:tcPr>
            <w:tcW w:w="672" w:type="dxa"/>
            <w:vMerge w:val="restart"/>
            <w:tcBorders>
              <w:tl2br w:val="nil"/>
              <w:tr2bl w:val="nil"/>
            </w:tcBorders>
            <w:vAlign w:val="center"/>
          </w:tcPr>
          <w:p>
            <w:pPr>
              <w:jc w:val="center"/>
              <w:rPr>
                <w:rFonts w:hint="eastAsia" w:ascii="Times New Roman" w:hAnsi="Times New Roman" w:cs="Times New Roman" w:eastAsiaTheme="minorEastAsia"/>
                <w:szCs w:val="21"/>
                <w:u w:val="none"/>
                <w:lang w:eastAsia="zh-CN"/>
              </w:rPr>
            </w:pPr>
            <w:r>
              <w:rPr>
                <w:rFonts w:hint="eastAsia" w:ascii="Times New Roman" w:hAnsi="Times New Roman" w:cs="Times New Roman"/>
                <w:szCs w:val="21"/>
                <w:u w:val="none"/>
                <w:lang w:eastAsia="zh-CN"/>
              </w:rPr>
              <w:t>单位</w:t>
            </w:r>
          </w:p>
        </w:tc>
        <w:tc>
          <w:tcPr>
            <w:tcW w:w="2956" w:type="dxa"/>
            <w:gridSpan w:val="3"/>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年产量</w:t>
            </w:r>
          </w:p>
        </w:tc>
        <w:tc>
          <w:tcPr>
            <w:tcW w:w="3305" w:type="dxa"/>
            <w:gridSpan w:val="3"/>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年产值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continue"/>
            <w:tcBorders>
              <w:tl2br w:val="nil"/>
              <w:tr2bl w:val="nil"/>
            </w:tcBorders>
            <w:vAlign w:val="center"/>
          </w:tcPr>
          <w:p>
            <w:pPr>
              <w:jc w:val="center"/>
              <w:rPr>
                <w:rFonts w:hint="default" w:ascii="Times New Roman" w:hAnsi="Times New Roman" w:cs="Times New Roman"/>
                <w:szCs w:val="21"/>
                <w:u w:val="none"/>
              </w:rPr>
            </w:pPr>
          </w:p>
        </w:tc>
        <w:tc>
          <w:tcPr>
            <w:tcW w:w="891" w:type="dxa"/>
            <w:vMerge w:val="continue"/>
            <w:tcBorders>
              <w:tl2br w:val="nil"/>
              <w:tr2bl w:val="nil"/>
            </w:tcBorders>
            <w:vAlign w:val="center"/>
          </w:tcPr>
          <w:p>
            <w:pPr>
              <w:jc w:val="center"/>
              <w:rPr>
                <w:rFonts w:hint="default" w:ascii="Times New Roman" w:hAnsi="Times New Roman" w:cs="Times New Roman"/>
                <w:szCs w:val="21"/>
                <w:u w:val="none"/>
              </w:rPr>
            </w:pPr>
          </w:p>
        </w:tc>
        <w:tc>
          <w:tcPr>
            <w:tcW w:w="672" w:type="dxa"/>
            <w:vMerge w:val="continue"/>
            <w:tcBorders>
              <w:tl2br w:val="nil"/>
              <w:tr2bl w:val="nil"/>
            </w:tcBorders>
            <w:vAlign w:val="center"/>
          </w:tcPr>
          <w:p>
            <w:pPr>
              <w:jc w:val="center"/>
              <w:rPr>
                <w:rFonts w:hint="default" w:ascii="Times New Roman" w:hAnsi="Times New Roman" w:cs="Times New Roman"/>
                <w:szCs w:val="21"/>
                <w:u w:val="none"/>
              </w:rPr>
            </w:pPr>
          </w:p>
        </w:tc>
        <w:tc>
          <w:tcPr>
            <w:tcW w:w="846" w:type="dxa"/>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2018年</w:t>
            </w:r>
          </w:p>
        </w:tc>
        <w:tc>
          <w:tcPr>
            <w:tcW w:w="1018" w:type="dxa"/>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2019年</w:t>
            </w:r>
          </w:p>
        </w:tc>
        <w:tc>
          <w:tcPr>
            <w:tcW w:w="1092" w:type="dxa"/>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2020年</w:t>
            </w:r>
          </w:p>
        </w:tc>
        <w:tc>
          <w:tcPr>
            <w:tcW w:w="1119" w:type="dxa"/>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2018年</w:t>
            </w:r>
          </w:p>
        </w:tc>
        <w:tc>
          <w:tcPr>
            <w:tcW w:w="1090" w:type="dxa"/>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2019年</w:t>
            </w:r>
          </w:p>
        </w:tc>
        <w:tc>
          <w:tcPr>
            <w:tcW w:w="1096" w:type="dxa"/>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2020年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restart"/>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1</w:t>
            </w:r>
          </w:p>
        </w:tc>
        <w:tc>
          <w:tcPr>
            <w:tcW w:w="891" w:type="dxa"/>
            <w:vMerge w:val="restart"/>
            <w:tcBorders>
              <w:tl2br w:val="nil"/>
              <w:tr2bl w:val="nil"/>
            </w:tcBorders>
            <w:vAlign w:val="center"/>
          </w:tcPr>
          <w:p>
            <w:pPr>
              <w:jc w:val="center"/>
              <w:rPr>
                <w:rFonts w:hint="eastAsia" w:ascii="Times New Roman" w:hAnsi="Times New Roman" w:cs="Times New Roman" w:eastAsiaTheme="minorEastAsia"/>
                <w:szCs w:val="21"/>
                <w:u w:val="none"/>
                <w:lang w:eastAsia="zh-CN"/>
              </w:rPr>
            </w:pPr>
            <w:r>
              <w:rPr>
                <w:rFonts w:hint="eastAsia" w:ascii="Times New Roman" w:hAnsi="Times New Roman" w:cs="Times New Roman"/>
                <w:szCs w:val="21"/>
                <w:u w:val="none"/>
                <w:lang w:eastAsia="zh-CN"/>
              </w:rPr>
              <w:t>冲孔镀镍钢带</w:t>
            </w:r>
          </w:p>
        </w:tc>
        <w:tc>
          <w:tcPr>
            <w:tcW w:w="672" w:type="dxa"/>
            <w:tcBorders>
              <w:tl2br w:val="nil"/>
              <w:tr2bl w:val="nil"/>
            </w:tcBorders>
            <w:vAlign w:val="center"/>
          </w:tcPr>
          <w:p>
            <w:pPr>
              <w:jc w:val="center"/>
              <w:rPr>
                <w:rFonts w:hint="eastAsia"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t</w:t>
            </w:r>
          </w:p>
        </w:tc>
        <w:tc>
          <w:tcPr>
            <w:tcW w:w="846" w:type="dxa"/>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280</w:t>
            </w:r>
          </w:p>
        </w:tc>
        <w:tc>
          <w:tcPr>
            <w:tcW w:w="1018" w:type="dxa"/>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160</w:t>
            </w:r>
          </w:p>
        </w:tc>
        <w:tc>
          <w:tcPr>
            <w:tcW w:w="1092" w:type="dxa"/>
            <w:tcBorders>
              <w:tl2br w:val="nil"/>
              <w:tr2bl w:val="nil"/>
            </w:tcBorders>
            <w:vAlign w:val="center"/>
          </w:tcPr>
          <w:p>
            <w:pPr>
              <w:jc w:val="center"/>
              <w:rPr>
                <w:rFonts w:hint="default" w:ascii="Times New Roman" w:hAnsi="Times New Roman" w:cs="Times New Roman"/>
                <w:szCs w:val="21"/>
                <w:u w:val="none"/>
              </w:rPr>
            </w:pPr>
            <w:r>
              <w:rPr>
                <w:rFonts w:hint="eastAsia" w:ascii="Times New Roman" w:hAnsi="Times New Roman" w:cs="Times New Roman"/>
                <w:szCs w:val="21"/>
                <w:u w:val="none"/>
                <w:lang w:val="en-US" w:eastAsia="zh-CN"/>
              </w:rPr>
              <w:t>160</w:t>
            </w:r>
          </w:p>
        </w:tc>
        <w:tc>
          <w:tcPr>
            <w:tcW w:w="1119" w:type="dxa"/>
            <w:vMerge w:val="restart"/>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1450万元</w:t>
            </w:r>
          </w:p>
        </w:tc>
        <w:tc>
          <w:tcPr>
            <w:tcW w:w="1090" w:type="dxa"/>
            <w:vMerge w:val="restart"/>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1772万元</w:t>
            </w:r>
          </w:p>
        </w:tc>
        <w:tc>
          <w:tcPr>
            <w:tcW w:w="1096" w:type="dxa"/>
            <w:vMerge w:val="restart"/>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2337万元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continue"/>
            <w:tcBorders>
              <w:tl2br w:val="nil"/>
              <w:tr2bl w:val="nil"/>
            </w:tcBorders>
            <w:vAlign w:val="center"/>
          </w:tcPr>
          <w:p>
            <w:pPr>
              <w:jc w:val="center"/>
              <w:rPr>
                <w:rFonts w:hint="eastAsia" w:ascii="Times New Roman" w:hAnsi="Times New Roman" w:cs="Times New Roman" w:eastAsiaTheme="minorEastAsia"/>
                <w:szCs w:val="21"/>
                <w:u w:val="none"/>
                <w:lang w:val="en-US" w:eastAsia="zh-CN"/>
              </w:rPr>
            </w:pPr>
          </w:p>
        </w:tc>
        <w:tc>
          <w:tcPr>
            <w:tcW w:w="891" w:type="dxa"/>
            <w:vMerge w:val="continue"/>
            <w:tcBorders>
              <w:tl2br w:val="nil"/>
              <w:tr2bl w:val="nil"/>
            </w:tcBorders>
            <w:vAlign w:val="center"/>
          </w:tcPr>
          <w:p>
            <w:pPr>
              <w:jc w:val="center"/>
              <w:rPr>
                <w:rFonts w:hint="default" w:ascii="Times New Roman" w:hAnsi="Times New Roman" w:cs="Times New Roman"/>
                <w:szCs w:val="21"/>
                <w:u w:val="none"/>
              </w:rPr>
            </w:pPr>
          </w:p>
        </w:tc>
        <w:tc>
          <w:tcPr>
            <w:tcW w:w="672" w:type="dxa"/>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m</w:t>
            </w:r>
            <w:r>
              <w:rPr>
                <w:rFonts w:hint="eastAsia" w:ascii="Times New Roman" w:hAnsi="Times New Roman" w:cs="Times New Roman"/>
                <w:szCs w:val="21"/>
                <w:u w:val="none"/>
                <w:vertAlign w:val="superscript"/>
                <w:lang w:val="en-US" w:eastAsia="zh-CN"/>
              </w:rPr>
              <w:t>2</w:t>
            </w:r>
          </w:p>
        </w:tc>
        <w:tc>
          <w:tcPr>
            <w:tcW w:w="846" w:type="dxa"/>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224000</w:t>
            </w:r>
          </w:p>
        </w:tc>
        <w:tc>
          <w:tcPr>
            <w:tcW w:w="1018" w:type="dxa"/>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128000</w:t>
            </w:r>
          </w:p>
        </w:tc>
        <w:tc>
          <w:tcPr>
            <w:tcW w:w="1092" w:type="dxa"/>
            <w:tcBorders>
              <w:tl2br w:val="nil"/>
              <w:tr2bl w:val="nil"/>
            </w:tcBorders>
            <w:vAlign w:val="center"/>
          </w:tcPr>
          <w:p>
            <w:pPr>
              <w:jc w:val="center"/>
              <w:rPr>
                <w:rFonts w:hint="default" w:ascii="Times New Roman" w:hAnsi="Times New Roman" w:cs="Times New Roman"/>
                <w:szCs w:val="21"/>
                <w:u w:val="none"/>
              </w:rPr>
            </w:pPr>
            <w:r>
              <w:rPr>
                <w:rFonts w:hint="eastAsia" w:ascii="Times New Roman" w:hAnsi="Times New Roman" w:cs="Times New Roman"/>
                <w:szCs w:val="21"/>
                <w:u w:val="none"/>
                <w:lang w:val="en-US" w:eastAsia="zh-CN"/>
              </w:rPr>
              <w:t>128000</w:t>
            </w:r>
          </w:p>
        </w:tc>
        <w:tc>
          <w:tcPr>
            <w:tcW w:w="1119" w:type="dxa"/>
            <w:vMerge w:val="continue"/>
            <w:tcBorders>
              <w:tl2br w:val="nil"/>
              <w:tr2bl w:val="nil"/>
            </w:tcBorders>
            <w:vAlign w:val="center"/>
          </w:tcPr>
          <w:p>
            <w:pPr>
              <w:jc w:val="center"/>
              <w:rPr>
                <w:rFonts w:hint="default" w:ascii="Times New Roman" w:hAnsi="Times New Roman" w:cs="Times New Roman"/>
                <w:szCs w:val="21"/>
                <w:u w:val="none"/>
              </w:rPr>
            </w:pPr>
          </w:p>
        </w:tc>
        <w:tc>
          <w:tcPr>
            <w:tcW w:w="1090" w:type="dxa"/>
            <w:vMerge w:val="continue"/>
            <w:tcBorders>
              <w:tl2br w:val="nil"/>
              <w:tr2bl w:val="nil"/>
            </w:tcBorders>
            <w:vAlign w:val="center"/>
          </w:tcPr>
          <w:p>
            <w:pPr>
              <w:jc w:val="center"/>
              <w:rPr>
                <w:rFonts w:hint="default" w:ascii="Times New Roman" w:hAnsi="Times New Roman" w:cs="Times New Roman"/>
                <w:szCs w:val="21"/>
                <w:u w:val="none"/>
              </w:rPr>
            </w:pPr>
          </w:p>
        </w:tc>
        <w:tc>
          <w:tcPr>
            <w:tcW w:w="1096" w:type="dxa"/>
            <w:vMerge w:val="continue"/>
            <w:tcBorders>
              <w:tl2br w:val="nil"/>
              <w:tr2bl w:val="nil"/>
            </w:tcBorders>
            <w:vAlign w:val="center"/>
          </w:tcPr>
          <w:p>
            <w:pPr>
              <w:jc w:val="center"/>
              <w:rPr>
                <w:rFonts w:hint="default" w:ascii="Times New Roman" w:hAnsi="Times New Roman" w:cs="Times New Roman"/>
                <w:szCs w:val="21"/>
                <w:u w:val="no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restart"/>
            <w:tcBorders>
              <w:tl2br w:val="nil"/>
              <w:tr2bl w:val="nil"/>
            </w:tcBorders>
            <w:vAlign w:val="center"/>
          </w:tcPr>
          <w:p>
            <w:pPr>
              <w:jc w:val="center"/>
              <w:rPr>
                <w:rFonts w:hint="eastAsia" w:ascii="Times New Roman" w:hAnsi="Times New Roman" w:cs="Times New Roman"/>
                <w:szCs w:val="21"/>
                <w:u w:val="none"/>
                <w:lang w:val="en-US" w:eastAsia="zh-CN"/>
              </w:rPr>
            </w:pPr>
            <w:r>
              <w:rPr>
                <w:rFonts w:hint="eastAsia" w:ascii="Times New Roman" w:hAnsi="Times New Roman" w:cs="Times New Roman"/>
                <w:szCs w:val="21"/>
                <w:u w:val="none"/>
                <w:lang w:val="en-US" w:eastAsia="zh-CN"/>
              </w:rPr>
              <w:t>2</w:t>
            </w:r>
          </w:p>
        </w:tc>
        <w:tc>
          <w:tcPr>
            <w:tcW w:w="891" w:type="dxa"/>
            <w:vMerge w:val="restart"/>
            <w:tcBorders>
              <w:tl2br w:val="nil"/>
              <w:tr2bl w:val="nil"/>
            </w:tcBorders>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电池钢壳</w:t>
            </w:r>
          </w:p>
        </w:tc>
        <w:tc>
          <w:tcPr>
            <w:tcW w:w="672" w:type="dxa"/>
            <w:tcBorders>
              <w:tl2br w:val="nil"/>
              <w:tr2bl w:val="nil"/>
            </w:tcBorders>
            <w:vAlign w:val="center"/>
          </w:tcPr>
          <w:p>
            <w:pPr>
              <w:jc w:val="center"/>
              <w:rPr>
                <w:rFonts w:hint="default" w:ascii="Times New Roman" w:hAnsi="Times New Roman" w:cs="Times New Roman" w:eastAsiaTheme="minorEastAsia"/>
                <w:kern w:val="2"/>
                <w:sz w:val="21"/>
                <w:szCs w:val="21"/>
                <w:u w:val="none"/>
                <w:lang w:val="en-US" w:eastAsia="zh-CN" w:bidi="ar-SA"/>
              </w:rPr>
            </w:pPr>
            <w:r>
              <w:rPr>
                <w:rFonts w:hint="eastAsia" w:ascii="Times New Roman" w:hAnsi="Times New Roman" w:cs="Times New Roman"/>
                <w:szCs w:val="21"/>
                <w:u w:val="none"/>
                <w:lang w:val="en-US" w:eastAsia="zh-CN"/>
              </w:rPr>
              <w:t>t</w:t>
            </w:r>
          </w:p>
        </w:tc>
        <w:tc>
          <w:tcPr>
            <w:tcW w:w="846" w:type="dxa"/>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70</w:t>
            </w:r>
          </w:p>
        </w:tc>
        <w:tc>
          <w:tcPr>
            <w:tcW w:w="1018" w:type="dxa"/>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240</w:t>
            </w:r>
          </w:p>
        </w:tc>
        <w:tc>
          <w:tcPr>
            <w:tcW w:w="1092" w:type="dxa"/>
            <w:tcBorders>
              <w:tl2br w:val="nil"/>
              <w:tr2bl w:val="nil"/>
            </w:tcBorders>
            <w:vAlign w:val="center"/>
          </w:tcPr>
          <w:p>
            <w:pPr>
              <w:jc w:val="center"/>
              <w:rPr>
                <w:rFonts w:hint="default" w:ascii="Times New Roman" w:hAnsi="Times New Roman" w:cs="Times New Roman"/>
                <w:szCs w:val="21"/>
                <w:u w:val="none"/>
              </w:rPr>
            </w:pPr>
            <w:r>
              <w:rPr>
                <w:rFonts w:hint="eastAsia" w:ascii="Times New Roman" w:hAnsi="Times New Roman" w:cs="Times New Roman"/>
                <w:szCs w:val="21"/>
                <w:u w:val="none"/>
                <w:lang w:val="en-US" w:eastAsia="zh-CN"/>
              </w:rPr>
              <w:t>240</w:t>
            </w:r>
          </w:p>
        </w:tc>
        <w:tc>
          <w:tcPr>
            <w:tcW w:w="1119" w:type="dxa"/>
            <w:vMerge w:val="restart"/>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857万元</w:t>
            </w:r>
          </w:p>
        </w:tc>
        <w:tc>
          <w:tcPr>
            <w:tcW w:w="1090" w:type="dxa"/>
            <w:vMerge w:val="restart"/>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1355万元</w:t>
            </w:r>
          </w:p>
        </w:tc>
        <w:tc>
          <w:tcPr>
            <w:tcW w:w="1096" w:type="dxa"/>
            <w:vMerge w:val="restart"/>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1730万元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continue"/>
            <w:tcBorders>
              <w:tl2br w:val="nil"/>
              <w:tr2bl w:val="nil"/>
            </w:tcBorders>
            <w:vAlign w:val="center"/>
          </w:tcPr>
          <w:p>
            <w:pPr>
              <w:jc w:val="center"/>
              <w:rPr>
                <w:rFonts w:hint="eastAsia" w:ascii="Times New Roman" w:hAnsi="Times New Roman" w:cs="Times New Roman"/>
                <w:szCs w:val="21"/>
                <w:u w:val="none"/>
                <w:lang w:val="en-US" w:eastAsia="zh-CN"/>
              </w:rPr>
            </w:pPr>
          </w:p>
        </w:tc>
        <w:tc>
          <w:tcPr>
            <w:tcW w:w="891" w:type="dxa"/>
            <w:vMerge w:val="continue"/>
            <w:tcBorders>
              <w:tl2br w:val="nil"/>
              <w:tr2bl w:val="nil"/>
            </w:tcBorders>
            <w:vAlign w:val="center"/>
          </w:tcPr>
          <w:p>
            <w:pPr>
              <w:jc w:val="center"/>
              <w:rPr>
                <w:rFonts w:hint="default" w:ascii="Times New Roman" w:hAnsi="Times New Roman" w:cs="Times New Roman"/>
                <w:szCs w:val="21"/>
                <w:u w:val="none"/>
              </w:rPr>
            </w:pPr>
          </w:p>
        </w:tc>
        <w:tc>
          <w:tcPr>
            <w:tcW w:w="672" w:type="dxa"/>
            <w:tcBorders>
              <w:tl2br w:val="nil"/>
              <w:tr2bl w:val="nil"/>
            </w:tcBorders>
            <w:vAlign w:val="center"/>
          </w:tcPr>
          <w:p>
            <w:pPr>
              <w:jc w:val="center"/>
              <w:rPr>
                <w:rFonts w:hint="default" w:ascii="Times New Roman" w:hAnsi="Times New Roman" w:cs="Times New Roman" w:eastAsiaTheme="minorEastAsia"/>
                <w:kern w:val="2"/>
                <w:sz w:val="21"/>
                <w:szCs w:val="21"/>
                <w:u w:val="none"/>
                <w:lang w:val="en-US" w:eastAsia="zh-CN" w:bidi="ar-SA"/>
              </w:rPr>
            </w:pPr>
            <w:r>
              <w:rPr>
                <w:rFonts w:hint="eastAsia" w:ascii="Times New Roman" w:hAnsi="Times New Roman" w:cs="Times New Roman"/>
                <w:szCs w:val="21"/>
                <w:u w:val="none"/>
                <w:lang w:val="en-US" w:eastAsia="zh-CN"/>
              </w:rPr>
              <w:t>m</w:t>
            </w:r>
            <w:r>
              <w:rPr>
                <w:rFonts w:hint="eastAsia" w:ascii="Times New Roman" w:hAnsi="Times New Roman" w:cs="Times New Roman"/>
                <w:szCs w:val="21"/>
                <w:u w:val="none"/>
                <w:vertAlign w:val="superscript"/>
                <w:lang w:val="en-US" w:eastAsia="zh-CN"/>
              </w:rPr>
              <w:t>2</w:t>
            </w:r>
          </w:p>
        </w:tc>
        <w:tc>
          <w:tcPr>
            <w:tcW w:w="846" w:type="dxa"/>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32030</w:t>
            </w:r>
          </w:p>
        </w:tc>
        <w:tc>
          <w:tcPr>
            <w:tcW w:w="1018" w:type="dxa"/>
            <w:tcBorders>
              <w:tl2br w:val="nil"/>
              <w:tr2bl w:val="nil"/>
            </w:tcBorders>
            <w:vAlign w:val="center"/>
          </w:tcPr>
          <w:p>
            <w:pPr>
              <w:jc w:val="center"/>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109818</w:t>
            </w:r>
          </w:p>
        </w:tc>
        <w:tc>
          <w:tcPr>
            <w:tcW w:w="1092" w:type="dxa"/>
            <w:tcBorders>
              <w:tl2br w:val="nil"/>
              <w:tr2bl w:val="nil"/>
            </w:tcBorders>
            <w:vAlign w:val="center"/>
          </w:tcPr>
          <w:p>
            <w:pPr>
              <w:jc w:val="center"/>
              <w:rPr>
                <w:rFonts w:hint="default" w:ascii="Times New Roman" w:hAnsi="Times New Roman" w:cs="Times New Roman"/>
                <w:szCs w:val="21"/>
                <w:u w:val="none"/>
              </w:rPr>
            </w:pPr>
            <w:r>
              <w:rPr>
                <w:rFonts w:hint="eastAsia" w:ascii="Times New Roman" w:hAnsi="Times New Roman" w:cs="Times New Roman"/>
                <w:szCs w:val="21"/>
                <w:u w:val="none"/>
                <w:lang w:val="en-US" w:eastAsia="zh-CN"/>
              </w:rPr>
              <w:t>109818</w:t>
            </w:r>
          </w:p>
        </w:tc>
        <w:tc>
          <w:tcPr>
            <w:tcW w:w="1119" w:type="dxa"/>
            <w:vMerge w:val="continue"/>
            <w:tcBorders>
              <w:tl2br w:val="nil"/>
              <w:tr2bl w:val="nil"/>
            </w:tcBorders>
            <w:vAlign w:val="center"/>
          </w:tcPr>
          <w:p>
            <w:pPr>
              <w:jc w:val="center"/>
              <w:rPr>
                <w:rFonts w:hint="default" w:ascii="Times New Roman" w:hAnsi="Times New Roman" w:cs="Times New Roman"/>
                <w:szCs w:val="21"/>
                <w:u w:val="none"/>
              </w:rPr>
            </w:pPr>
          </w:p>
        </w:tc>
        <w:tc>
          <w:tcPr>
            <w:tcW w:w="1090" w:type="dxa"/>
            <w:vMerge w:val="continue"/>
            <w:tcBorders>
              <w:tl2br w:val="nil"/>
              <w:tr2bl w:val="nil"/>
            </w:tcBorders>
            <w:vAlign w:val="center"/>
          </w:tcPr>
          <w:p>
            <w:pPr>
              <w:jc w:val="center"/>
              <w:rPr>
                <w:rFonts w:hint="default" w:ascii="Times New Roman" w:hAnsi="Times New Roman" w:cs="Times New Roman"/>
                <w:szCs w:val="21"/>
                <w:u w:val="none"/>
              </w:rPr>
            </w:pPr>
          </w:p>
        </w:tc>
        <w:tc>
          <w:tcPr>
            <w:tcW w:w="1096" w:type="dxa"/>
            <w:vMerge w:val="continue"/>
            <w:tcBorders>
              <w:tl2br w:val="nil"/>
              <w:tr2bl w:val="nil"/>
            </w:tcBorders>
            <w:vAlign w:val="center"/>
          </w:tcPr>
          <w:p>
            <w:pPr>
              <w:jc w:val="center"/>
              <w:rPr>
                <w:rFonts w:hint="default" w:ascii="Times New Roman" w:hAnsi="Times New Roman" w:cs="Times New Roman"/>
                <w:szCs w:val="21"/>
                <w:u w:val="none"/>
              </w:rPr>
            </w:pPr>
          </w:p>
        </w:tc>
      </w:tr>
    </w:tbl>
    <w:p>
      <w:pPr>
        <w:spacing w:line="360" w:lineRule="auto"/>
        <w:ind w:firstLine="480" w:firstLineChars="200"/>
        <w:jc w:val="left"/>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根据上表可知，项目近三年产品的生产量处于一个稳定上升的趋势，但未达到项目最大额定产能，单位产品产值</w:t>
      </w:r>
      <w:r>
        <w:rPr>
          <w:rFonts w:hint="eastAsia" w:ascii="Times New Roman" w:hAnsi="Times New Roman" w:cs="Times New Roman"/>
          <w:b w:val="0"/>
          <w:bCs w:val="0"/>
          <w:color w:val="auto"/>
          <w:sz w:val="24"/>
          <w:szCs w:val="24"/>
          <w:u w:val="none"/>
          <w:lang w:val="en-US" w:eastAsia="zh-CN"/>
        </w:rPr>
        <w:t>有所上升</w:t>
      </w:r>
      <w:r>
        <w:rPr>
          <w:rFonts w:hint="default" w:ascii="Times New Roman" w:hAnsi="Times New Roman" w:cs="Times New Roman"/>
          <w:b w:val="0"/>
          <w:bCs w:val="0"/>
          <w:color w:val="auto"/>
          <w:sz w:val="24"/>
          <w:szCs w:val="24"/>
          <w:u w:val="none"/>
          <w:lang w:val="en-US" w:eastAsia="zh-CN"/>
        </w:rPr>
        <w:t>。</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w:t>
      </w:r>
      <w:r>
        <w:rPr>
          <w:rFonts w:hint="eastAsia" w:ascii="Times New Roman" w:hAnsi="Times New Roman" w:cs="Times New Roman"/>
          <w:b w:val="0"/>
          <w:bCs w:val="0"/>
          <w:color w:val="auto"/>
          <w:sz w:val="24"/>
          <w:szCs w:val="24"/>
          <w:lang w:val="en-US" w:eastAsia="zh-CN"/>
        </w:rPr>
        <w:t>4</w:t>
      </w:r>
      <w:r>
        <w:rPr>
          <w:rFonts w:hint="default" w:ascii="Times New Roman" w:hAnsi="Times New Roman" w:cs="Times New Roman"/>
          <w:b w:val="0"/>
          <w:bCs w:val="0"/>
          <w:color w:val="auto"/>
          <w:sz w:val="24"/>
          <w:szCs w:val="24"/>
          <w:lang w:val="en-US" w:eastAsia="zh-CN"/>
        </w:rPr>
        <w:t>原辅材料消耗情况</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根据现状调查企业近三年原辅料消耗见表3-</w:t>
      </w:r>
      <w:r>
        <w:rPr>
          <w:rFonts w:hint="eastAsia"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val="en-US" w:eastAsia="zh-CN"/>
        </w:rPr>
        <w:t>。</w:t>
      </w:r>
    </w:p>
    <w:p>
      <w:pPr>
        <w:spacing w:line="360" w:lineRule="auto"/>
        <w:ind w:firstLine="480" w:firstLineChars="200"/>
        <w:jc w:val="center"/>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表3-</w:t>
      </w:r>
      <w:r>
        <w:rPr>
          <w:rFonts w:hint="eastAsia" w:ascii="Times New Roman" w:hAnsi="Times New Roman" w:cs="Times New Roman"/>
          <w:b w:val="0"/>
          <w:bCs w:val="0"/>
          <w:color w:val="auto"/>
          <w:sz w:val="24"/>
          <w:szCs w:val="24"/>
          <w:highlight w:val="none"/>
          <w:lang w:val="en-US" w:eastAsia="zh-CN"/>
        </w:rPr>
        <w:t>3</w:t>
      </w:r>
      <w:r>
        <w:rPr>
          <w:rFonts w:hint="default" w:ascii="Times New Roman" w:hAnsi="Times New Roman" w:cs="Times New Roman"/>
          <w:b w:val="0"/>
          <w:bCs w:val="0"/>
          <w:color w:val="auto"/>
          <w:sz w:val="24"/>
          <w:szCs w:val="24"/>
          <w:highlight w:val="none"/>
          <w:lang w:val="en-US" w:eastAsia="zh-CN"/>
        </w:rPr>
        <w:t xml:space="preserve">    原辅料消耗情况表</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93"/>
        <w:gridCol w:w="1350"/>
        <w:gridCol w:w="750"/>
        <w:gridCol w:w="914"/>
        <w:gridCol w:w="982"/>
        <w:gridCol w:w="983"/>
        <w:gridCol w:w="982"/>
        <w:gridCol w:w="982"/>
        <w:gridCol w:w="9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序号</w:t>
            </w:r>
          </w:p>
        </w:tc>
        <w:tc>
          <w:tcPr>
            <w:tcW w:w="135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原辅材料名称名称</w:t>
            </w:r>
          </w:p>
        </w:tc>
        <w:tc>
          <w:tcPr>
            <w:tcW w:w="75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单位</w:t>
            </w:r>
          </w:p>
        </w:tc>
        <w:tc>
          <w:tcPr>
            <w:tcW w:w="2879" w:type="dxa"/>
            <w:gridSpan w:val="3"/>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近三年总消耗量</w:t>
            </w:r>
          </w:p>
        </w:tc>
        <w:tc>
          <w:tcPr>
            <w:tcW w:w="2947" w:type="dxa"/>
            <w:gridSpan w:val="3"/>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近三年单耗量（/t-产品）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p>
        </w:tc>
        <w:tc>
          <w:tcPr>
            <w:tcW w:w="1350" w:type="dxa"/>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p>
        </w:tc>
        <w:tc>
          <w:tcPr>
            <w:tcW w:w="75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c>
          <w:tcPr>
            <w:tcW w:w="91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2018年</w:t>
            </w:r>
          </w:p>
        </w:tc>
        <w:tc>
          <w:tcPr>
            <w:tcW w:w="982"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2019年</w:t>
            </w:r>
          </w:p>
        </w:tc>
        <w:tc>
          <w:tcPr>
            <w:tcW w:w="98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2020年</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szCs w:val="21"/>
                <w:highlight w:val="none"/>
              </w:rPr>
              <w:t>2018年</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szCs w:val="21"/>
                <w:highlight w:val="none"/>
              </w:rPr>
              <w:t>2019年</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szCs w:val="21"/>
                <w:highlight w:val="none"/>
              </w:rPr>
              <w:t>2020年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1</w:t>
            </w:r>
          </w:p>
        </w:tc>
        <w:tc>
          <w:tcPr>
            <w:tcW w:w="13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基材钢带</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szCs w:val="21"/>
                <w:highlight w:val="none"/>
              </w:rPr>
              <w:t>t/a</w:t>
            </w:r>
          </w:p>
        </w:tc>
        <w:tc>
          <w:tcPr>
            <w:tcW w:w="914" w:type="dxa"/>
            <w:tcBorders>
              <w:tl2br w:val="nil"/>
              <w:tr2bl w:val="nil"/>
            </w:tcBorders>
            <w:vAlign w:val="center"/>
          </w:tcPr>
          <w:p>
            <w:pPr>
              <w:jc w:val="center"/>
              <w:rPr>
                <w:rFonts w:hint="default" w:ascii="Times New Roman" w:hAnsi="Times New Roman" w:cs="Times New Roman"/>
                <w:szCs w:val="21"/>
                <w:highlight w:val="none"/>
                <w:lang w:val="en-US" w:eastAsia="zh-CN"/>
              </w:rPr>
            </w:pPr>
            <w:r>
              <w:rPr>
                <w:rFonts w:hint="eastAsia" w:ascii="Times New Roman" w:hAnsi="Times New Roman" w:cs="Times New Roman"/>
                <w:kern w:val="2"/>
                <w:sz w:val="21"/>
                <w:szCs w:val="21"/>
                <w:lang w:val="en-US" w:eastAsia="zh-CN" w:bidi="ar-SA"/>
              </w:rPr>
              <w:t>41</w:t>
            </w:r>
            <w:r>
              <w:rPr>
                <w:rFonts w:hint="default" w:ascii="Times New Roman" w:hAnsi="Times New Roman" w:cs="Times New Roman"/>
                <w:kern w:val="2"/>
                <w:sz w:val="21"/>
                <w:szCs w:val="21"/>
                <w:lang w:val="en-US" w:eastAsia="zh-CN" w:bidi="ar-SA"/>
              </w:rPr>
              <w:t>0</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kern w:val="2"/>
                <w:sz w:val="21"/>
                <w:szCs w:val="21"/>
                <w:lang w:val="en-US" w:eastAsia="zh-CN" w:bidi="ar-SA"/>
              </w:rPr>
              <w:t>4</w:t>
            </w:r>
            <w:r>
              <w:rPr>
                <w:rFonts w:hint="eastAsia" w:ascii="Times New Roman" w:hAnsi="Times New Roman" w:cs="Times New Roman"/>
                <w:kern w:val="2"/>
                <w:sz w:val="21"/>
                <w:szCs w:val="21"/>
                <w:lang w:val="en-US" w:eastAsia="zh-CN" w:bidi="ar-SA"/>
              </w:rPr>
              <w:t>8</w:t>
            </w:r>
            <w:r>
              <w:rPr>
                <w:rFonts w:hint="default" w:ascii="Times New Roman" w:hAnsi="Times New Roman" w:cs="Times New Roman"/>
                <w:kern w:val="2"/>
                <w:sz w:val="21"/>
                <w:szCs w:val="21"/>
                <w:lang w:val="en-US" w:eastAsia="zh-CN" w:bidi="ar-SA"/>
              </w:rPr>
              <w:t>0</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kern w:val="2"/>
                <w:sz w:val="21"/>
                <w:szCs w:val="21"/>
                <w:lang w:val="en-US" w:eastAsia="zh-CN" w:bidi="ar-SA"/>
              </w:rPr>
              <w:t>4</w:t>
            </w:r>
            <w:r>
              <w:rPr>
                <w:rFonts w:hint="eastAsia" w:ascii="Times New Roman" w:hAnsi="Times New Roman" w:cs="Times New Roman"/>
                <w:kern w:val="2"/>
                <w:sz w:val="21"/>
                <w:szCs w:val="21"/>
                <w:lang w:val="en-US" w:eastAsia="zh-CN" w:bidi="ar-SA"/>
              </w:rPr>
              <w:t>8</w:t>
            </w:r>
            <w:r>
              <w:rPr>
                <w:rFonts w:hint="default" w:ascii="Times New Roman" w:hAnsi="Times New Roman" w:cs="Times New Roman"/>
                <w:kern w:val="2"/>
                <w:sz w:val="21"/>
                <w:szCs w:val="21"/>
                <w:lang w:val="en-US" w:eastAsia="zh-CN" w:bidi="ar-SA"/>
              </w:rPr>
              <w:t>0</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1.17</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1.2</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2</w:t>
            </w:r>
          </w:p>
        </w:tc>
        <w:tc>
          <w:tcPr>
            <w:tcW w:w="13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镍板</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szCs w:val="21"/>
                <w:highlight w:val="none"/>
              </w:rPr>
              <w:t>t/a</w:t>
            </w:r>
          </w:p>
        </w:tc>
        <w:tc>
          <w:tcPr>
            <w:tcW w:w="914"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6.3</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7</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7</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0.018 </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0.017</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0.017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3</w:t>
            </w:r>
          </w:p>
        </w:tc>
        <w:tc>
          <w:tcPr>
            <w:tcW w:w="13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氢氧化钠</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szCs w:val="21"/>
                <w:highlight w:val="none"/>
              </w:rPr>
              <w:t>t/a</w:t>
            </w:r>
          </w:p>
        </w:tc>
        <w:tc>
          <w:tcPr>
            <w:tcW w:w="914"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3.5</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0.01</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0.012 </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0.012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4</w:t>
            </w:r>
          </w:p>
        </w:tc>
        <w:tc>
          <w:tcPr>
            <w:tcW w:w="13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食用纯碱</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szCs w:val="21"/>
                <w:highlight w:val="none"/>
              </w:rPr>
              <w:t>t/a</w:t>
            </w:r>
          </w:p>
        </w:tc>
        <w:tc>
          <w:tcPr>
            <w:tcW w:w="914"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3</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3</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0.006 </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0.007 </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0.007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5</w:t>
            </w:r>
          </w:p>
        </w:tc>
        <w:tc>
          <w:tcPr>
            <w:tcW w:w="1350" w:type="dxa"/>
            <w:tcBorders>
              <w:tl2br w:val="nil"/>
              <w:tr2bl w:val="nil"/>
            </w:tcBorders>
            <w:vAlign w:val="center"/>
          </w:tcPr>
          <w:p>
            <w:pPr>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硫酸镍</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szCs w:val="21"/>
                <w:highlight w:val="none"/>
              </w:rPr>
              <w:t>t/a</w:t>
            </w:r>
          </w:p>
        </w:tc>
        <w:tc>
          <w:tcPr>
            <w:tcW w:w="914"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1.7</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0.005 </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0.005 </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0.005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6</w:t>
            </w:r>
          </w:p>
        </w:tc>
        <w:tc>
          <w:tcPr>
            <w:tcW w:w="1350" w:type="dxa"/>
            <w:tcBorders>
              <w:tl2br w:val="nil"/>
              <w:tr2bl w:val="nil"/>
            </w:tcBorders>
            <w:vAlign w:val="center"/>
          </w:tcPr>
          <w:p>
            <w:pPr>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cs="Times New Roman"/>
                <w:szCs w:val="21"/>
              </w:rPr>
              <w:t>氯化镍</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szCs w:val="21"/>
                <w:highlight w:val="none"/>
              </w:rPr>
              <w:t>t/a</w:t>
            </w:r>
          </w:p>
        </w:tc>
        <w:tc>
          <w:tcPr>
            <w:tcW w:w="914"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0.7</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0.002 </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0.002 </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0.002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7</w:t>
            </w:r>
          </w:p>
        </w:tc>
        <w:tc>
          <w:tcPr>
            <w:tcW w:w="13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硫酸</w:t>
            </w:r>
          </w:p>
        </w:tc>
        <w:tc>
          <w:tcPr>
            <w:tcW w:w="7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highlight w:val="none"/>
              </w:rPr>
              <w:t>t/a</w:t>
            </w:r>
          </w:p>
        </w:tc>
        <w:tc>
          <w:tcPr>
            <w:tcW w:w="914" w:type="dxa"/>
            <w:tcBorders>
              <w:tl2br w:val="nil"/>
              <w:tr2bl w:val="nil"/>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2.5</w:t>
            </w:r>
          </w:p>
        </w:tc>
        <w:tc>
          <w:tcPr>
            <w:tcW w:w="982" w:type="dxa"/>
            <w:tcBorders>
              <w:tl2br w:val="nil"/>
              <w:tr2bl w:val="nil"/>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3</w:t>
            </w:r>
          </w:p>
        </w:tc>
        <w:tc>
          <w:tcPr>
            <w:tcW w:w="983" w:type="dxa"/>
            <w:tcBorders>
              <w:tl2br w:val="nil"/>
              <w:tr2bl w:val="nil"/>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3</w:t>
            </w:r>
          </w:p>
        </w:tc>
        <w:tc>
          <w:tcPr>
            <w:tcW w:w="982" w:type="dxa"/>
            <w:tcBorders>
              <w:tl2br w:val="nil"/>
              <w:tr2bl w:val="nil"/>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0.007 </w:t>
            </w:r>
          </w:p>
        </w:tc>
        <w:tc>
          <w:tcPr>
            <w:tcW w:w="982" w:type="dxa"/>
            <w:tcBorders>
              <w:tl2br w:val="nil"/>
              <w:tr2bl w:val="nil"/>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0.007 </w:t>
            </w:r>
          </w:p>
        </w:tc>
        <w:tc>
          <w:tcPr>
            <w:tcW w:w="983" w:type="dxa"/>
            <w:tcBorders>
              <w:tl2br w:val="nil"/>
              <w:tr2bl w:val="nil"/>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0.007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eastAsia" w:ascii="Times New Roman" w:hAnsi="Times New Roman" w:cs="Times New Roman"/>
                <w:b w:val="0"/>
                <w:bCs w:val="0"/>
                <w:color w:val="auto"/>
                <w:kern w:val="2"/>
                <w:sz w:val="21"/>
                <w:szCs w:val="21"/>
                <w:highlight w:val="none"/>
                <w:vertAlign w:val="baseline"/>
                <w:lang w:val="en-US" w:eastAsia="zh-CN" w:bidi="ar-SA"/>
              </w:rPr>
              <w:t>8</w:t>
            </w:r>
          </w:p>
        </w:tc>
        <w:tc>
          <w:tcPr>
            <w:tcW w:w="1350" w:type="dxa"/>
            <w:tcBorders>
              <w:tl2br w:val="nil"/>
              <w:tr2bl w:val="nil"/>
            </w:tcBorders>
            <w:vAlign w:val="center"/>
          </w:tcPr>
          <w:p>
            <w:pPr>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柠檬酸</w:t>
            </w:r>
          </w:p>
        </w:tc>
        <w:tc>
          <w:tcPr>
            <w:tcW w:w="750"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t/a</w:t>
            </w:r>
          </w:p>
        </w:tc>
        <w:tc>
          <w:tcPr>
            <w:tcW w:w="914"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1.5</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0.004 </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0.005 </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0.005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eastAsia" w:ascii="Times New Roman" w:hAnsi="Times New Roman" w:cs="Times New Roman"/>
                <w:b w:val="0"/>
                <w:bCs w:val="0"/>
                <w:color w:val="auto"/>
                <w:kern w:val="2"/>
                <w:sz w:val="21"/>
                <w:szCs w:val="21"/>
                <w:highlight w:val="none"/>
                <w:vertAlign w:val="baseline"/>
                <w:lang w:val="en-US" w:eastAsia="zh-CN" w:bidi="ar-SA"/>
              </w:rPr>
              <w:t>9</w:t>
            </w:r>
          </w:p>
        </w:tc>
        <w:tc>
          <w:tcPr>
            <w:tcW w:w="1350" w:type="dxa"/>
            <w:tcBorders>
              <w:tl2br w:val="nil"/>
              <w:tr2bl w:val="nil"/>
            </w:tcBorders>
            <w:vAlign w:val="center"/>
          </w:tcPr>
          <w:p>
            <w:pPr>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无铬钝化液</w:t>
            </w:r>
          </w:p>
        </w:tc>
        <w:tc>
          <w:tcPr>
            <w:tcW w:w="750"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t/a</w:t>
            </w:r>
          </w:p>
        </w:tc>
        <w:tc>
          <w:tcPr>
            <w:tcW w:w="914"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0.8</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1.2</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1.2</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0.002 </w:t>
            </w:r>
          </w:p>
        </w:tc>
        <w:tc>
          <w:tcPr>
            <w:tcW w:w="982"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0.003 </w:t>
            </w:r>
          </w:p>
        </w:tc>
        <w:tc>
          <w:tcPr>
            <w:tcW w:w="983" w:type="dxa"/>
            <w:tcBorders>
              <w:tl2br w:val="nil"/>
              <w:tr2bl w:val="nil"/>
            </w:tcBorders>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 xml:space="preserve">0.003 </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从上表原辅材料单耗可以看出，近年来公司日常运营状态良好，生产耗材趋于稳定。</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w:t>
      </w:r>
      <w:r>
        <w:rPr>
          <w:rFonts w:hint="eastAsia" w:ascii="Times New Roman" w:hAnsi="Times New Roman" w:cs="Times New Roman"/>
          <w:b w:val="0"/>
          <w:bCs w:val="0"/>
          <w:color w:val="auto"/>
          <w:sz w:val="24"/>
          <w:szCs w:val="24"/>
          <w:lang w:val="en-US" w:eastAsia="zh-CN"/>
        </w:rPr>
        <w:t>5</w:t>
      </w:r>
      <w:r>
        <w:rPr>
          <w:rFonts w:hint="default" w:ascii="Times New Roman" w:hAnsi="Times New Roman" w:cs="Times New Roman"/>
          <w:b w:val="0"/>
          <w:bCs w:val="0"/>
          <w:color w:val="auto"/>
          <w:sz w:val="24"/>
          <w:szCs w:val="24"/>
          <w:lang w:val="en-US" w:eastAsia="zh-CN"/>
        </w:rPr>
        <w:t xml:space="preserve"> 主要原辅材料物化性质及使用、储运措施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项目主要原材料物化性质详见表3-</w:t>
      </w:r>
      <w:r>
        <w:rPr>
          <w:rFonts w:hint="eastAsia" w:ascii="Times New Roman" w:hAnsi="Times New Roman" w:cs="Times New Roman"/>
          <w:b w:val="0"/>
          <w:bCs w:val="0"/>
          <w:color w:val="auto"/>
          <w:sz w:val="24"/>
          <w:szCs w:val="24"/>
          <w:lang w:val="en-US" w:eastAsia="zh-CN"/>
        </w:rPr>
        <w:t>4</w:t>
      </w:r>
      <w:r>
        <w:rPr>
          <w:rFonts w:hint="default" w:ascii="Times New Roman" w:hAnsi="Times New Roman" w:cs="Times New Roman"/>
          <w:b w:val="0"/>
          <w:bCs w:val="0"/>
          <w:color w:val="auto"/>
          <w:sz w:val="24"/>
          <w:szCs w:val="24"/>
          <w:lang w:val="en-US" w:eastAsia="zh-CN"/>
        </w:rPr>
        <w:t>。</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w:t>
      </w:r>
      <w:r>
        <w:rPr>
          <w:rFonts w:hint="eastAsia" w:ascii="Times New Roman" w:hAnsi="Times New Roman" w:cs="Times New Roman"/>
          <w:b w:val="0"/>
          <w:bCs w:val="0"/>
          <w:color w:val="auto"/>
          <w:sz w:val="24"/>
          <w:szCs w:val="24"/>
          <w:lang w:val="en-US" w:eastAsia="zh-CN"/>
        </w:rPr>
        <w:t>4</w:t>
      </w:r>
      <w:r>
        <w:rPr>
          <w:rFonts w:hint="default" w:ascii="Times New Roman" w:hAnsi="Times New Roman" w:cs="Times New Roman"/>
          <w:b w:val="0"/>
          <w:bCs w:val="0"/>
          <w:color w:val="auto"/>
          <w:sz w:val="24"/>
          <w:szCs w:val="24"/>
          <w:lang w:val="en-US" w:eastAsia="zh-CN"/>
        </w:rPr>
        <w:t xml:space="preserve">    项目主要原材料物化性质一览表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1350"/>
        <w:gridCol w:w="630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序号</w:t>
            </w:r>
          </w:p>
        </w:tc>
        <w:tc>
          <w:tcPr>
            <w:tcW w:w="13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名称</w:t>
            </w:r>
          </w:p>
        </w:tc>
        <w:tc>
          <w:tcPr>
            <w:tcW w:w="630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物化性质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5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硫酸镍</w:t>
            </w:r>
          </w:p>
        </w:tc>
        <w:tc>
          <w:tcPr>
            <w:tcW w:w="6308"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    分子式为NiSO</w:t>
            </w:r>
            <w:r>
              <w:rPr>
                <w:rFonts w:hint="default" w:ascii="Times New Roman" w:hAnsi="Times New Roman" w:cs="Times New Roman"/>
                <w:b w:val="0"/>
                <w:bCs w:val="0"/>
                <w:color w:val="auto"/>
                <w:sz w:val="21"/>
                <w:szCs w:val="21"/>
                <w:vertAlign w:val="subscript"/>
                <w:lang w:val="en-US" w:eastAsia="zh-CN"/>
              </w:rPr>
              <w:t>4</w:t>
            </w:r>
            <w:r>
              <w:rPr>
                <w:rFonts w:hint="default" w:ascii="Times New Roman" w:hAnsi="Times New Roman" w:cs="Times New Roman"/>
                <w:b w:val="0"/>
                <w:bCs w:val="0"/>
                <w:color w:val="auto"/>
                <w:sz w:val="21"/>
                <w:szCs w:val="21"/>
                <w:vertAlign w:val="baseline"/>
                <w:lang w:val="en-US" w:eastAsia="zh-CN"/>
              </w:rPr>
              <w:t>·XH</w:t>
            </w:r>
            <w:r>
              <w:rPr>
                <w:rFonts w:hint="default" w:ascii="Times New Roman" w:hAnsi="Times New Roman" w:cs="Times New Roman"/>
                <w:b w:val="0"/>
                <w:bCs w:val="0"/>
                <w:color w:val="auto"/>
                <w:sz w:val="21"/>
                <w:szCs w:val="21"/>
                <w:vertAlign w:val="subscript"/>
                <w:lang w:val="en-US" w:eastAsia="zh-CN"/>
              </w:rPr>
              <w:t>2</w:t>
            </w:r>
            <w:r>
              <w:rPr>
                <w:rFonts w:hint="default" w:ascii="Times New Roman" w:hAnsi="Times New Roman" w:cs="Times New Roman"/>
                <w:b w:val="0"/>
                <w:bCs w:val="0"/>
                <w:color w:val="auto"/>
                <w:sz w:val="21"/>
                <w:szCs w:val="21"/>
                <w:vertAlign w:val="baseline"/>
                <w:lang w:val="en-US" w:eastAsia="zh-CN"/>
              </w:rPr>
              <w:t>O，有无水物、六水物、七水物三种，商品以六水物为主，有两种变体：α-NiSO</w:t>
            </w:r>
            <w:r>
              <w:rPr>
                <w:rFonts w:hint="default" w:ascii="Times New Roman" w:hAnsi="Times New Roman" w:cs="Times New Roman"/>
                <w:b w:val="0"/>
                <w:bCs w:val="0"/>
                <w:color w:val="auto"/>
                <w:sz w:val="21"/>
                <w:szCs w:val="21"/>
                <w:vertAlign w:val="subscript"/>
                <w:lang w:val="en-US" w:eastAsia="zh-CN"/>
              </w:rPr>
              <w:t>4</w:t>
            </w:r>
            <w:r>
              <w:rPr>
                <w:rFonts w:hint="default" w:ascii="Times New Roman" w:hAnsi="Times New Roman" w:cs="Times New Roman"/>
                <w:b w:val="0"/>
                <w:bCs w:val="0"/>
                <w:color w:val="auto"/>
                <w:sz w:val="21"/>
                <w:szCs w:val="21"/>
                <w:vertAlign w:val="baseline"/>
                <w:lang w:val="en-US" w:eastAsia="zh-CN"/>
              </w:rPr>
              <w:t>·6H</w:t>
            </w:r>
            <w:r>
              <w:rPr>
                <w:rFonts w:hint="default" w:ascii="Times New Roman" w:hAnsi="Times New Roman" w:cs="Times New Roman"/>
                <w:b w:val="0"/>
                <w:bCs w:val="0"/>
                <w:color w:val="auto"/>
                <w:sz w:val="21"/>
                <w:szCs w:val="21"/>
                <w:vertAlign w:val="subscript"/>
                <w:lang w:val="en-US" w:eastAsia="zh-CN"/>
              </w:rPr>
              <w:t>2</w:t>
            </w:r>
            <w:r>
              <w:rPr>
                <w:rFonts w:hint="default" w:ascii="Times New Roman" w:hAnsi="Times New Roman" w:cs="Times New Roman"/>
                <w:b w:val="0"/>
                <w:bCs w:val="0"/>
                <w:color w:val="auto"/>
                <w:sz w:val="21"/>
                <w:szCs w:val="21"/>
                <w:vertAlign w:val="baseline"/>
                <w:lang w:val="en-US" w:eastAsia="zh-CN"/>
              </w:rPr>
              <w:t>O为蓝色四方晶系结晶；β-NiSO</w:t>
            </w:r>
            <w:r>
              <w:rPr>
                <w:rFonts w:hint="default" w:ascii="Times New Roman" w:hAnsi="Times New Roman" w:cs="Times New Roman"/>
                <w:b w:val="0"/>
                <w:bCs w:val="0"/>
                <w:color w:val="auto"/>
                <w:sz w:val="21"/>
                <w:szCs w:val="21"/>
                <w:vertAlign w:val="subscript"/>
                <w:lang w:val="en-US" w:eastAsia="zh-CN"/>
              </w:rPr>
              <w:t>4</w:t>
            </w:r>
            <w:r>
              <w:rPr>
                <w:rFonts w:hint="default" w:ascii="Times New Roman" w:hAnsi="Times New Roman" w:cs="Times New Roman"/>
                <w:b w:val="0"/>
                <w:bCs w:val="0"/>
                <w:color w:val="auto"/>
                <w:sz w:val="21"/>
                <w:szCs w:val="21"/>
                <w:vertAlign w:val="baseline"/>
                <w:lang w:val="en-US" w:eastAsia="zh-CN"/>
              </w:rPr>
              <w:t>·6H</w:t>
            </w:r>
            <w:r>
              <w:rPr>
                <w:rFonts w:hint="default" w:ascii="Times New Roman" w:hAnsi="Times New Roman" w:cs="Times New Roman"/>
                <w:b w:val="0"/>
                <w:bCs w:val="0"/>
                <w:color w:val="auto"/>
                <w:sz w:val="21"/>
                <w:szCs w:val="21"/>
                <w:vertAlign w:val="subscript"/>
                <w:lang w:val="en-US" w:eastAsia="zh-CN"/>
              </w:rPr>
              <w:t>2</w:t>
            </w:r>
            <w:r>
              <w:rPr>
                <w:rFonts w:hint="default" w:ascii="Times New Roman" w:hAnsi="Times New Roman" w:cs="Times New Roman"/>
                <w:b w:val="0"/>
                <w:bCs w:val="0"/>
                <w:color w:val="auto"/>
                <w:sz w:val="21"/>
                <w:szCs w:val="21"/>
                <w:vertAlign w:val="baseline"/>
                <w:lang w:val="en-US" w:eastAsia="zh-CN"/>
              </w:rPr>
              <w:t>O为绿色单斜结晶。本品相对密度：2.07，晶型转化点53.5℃，103℃时失去六个结晶水。溶于水，水溶液呈酸性。易溶于醇、氨水。</w:t>
            </w:r>
          </w:p>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    本品受高热分解产生有毒的硫化物烟气。硫酸镍有毒，吸入后对呼吸道有刺激性。可引起哮喘和肺嗜酸细胞增多症，可致支气管炎。对眼有刺激性。皮肤接触可引起皮炎和湿疹，常伴有剧烈瘙痒，称之为“镍痒症”。大量口服引起恶心、呕吐和眩晕。</w:t>
            </w:r>
          </w:p>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    本品用内衬聚乙烯塑料袋的编织袋或木箱包装，包装上应有明显的“有毒品”标志。应贮存于阴凉、干燥、通风的库房。严禁与氧化剂、食用化学品等混装混运。运输途中应防曝晒、雨淋，防高温。车辆运输完毕应进行彻底清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2</w:t>
            </w:r>
          </w:p>
        </w:tc>
        <w:tc>
          <w:tcPr>
            <w:tcW w:w="135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氯化镍</w:t>
            </w:r>
          </w:p>
        </w:tc>
        <w:tc>
          <w:tcPr>
            <w:tcW w:w="6308"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    分子式为NiCl·6H</w:t>
            </w:r>
            <w:r>
              <w:rPr>
                <w:rFonts w:hint="default" w:ascii="Times New Roman" w:hAnsi="Times New Roman" w:cs="Times New Roman"/>
                <w:b w:val="0"/>
                <w:bCs w:val="0"/>
                <w:color w:val="auto"/>
                <w:sz w:val="21"/>
                <w:szCs w:val="21"/>
                <w:vertAlign w:val="subscript"/>
                <w:lang w:val="en-US" w:eastAsia="zh-CN"/>
              </w:rPr>
              <w:t>2</w:t>
            </w:r>
            <w:r>
              <w:rPr>
                <w:rFonts w:hint="default" w:ascii="Times New Roman" w:hAnsi="Times New Roman" w:cs="Times New Roman"/>
                <w:b w:val="0"/>
                <w:bCs w:val="0"/>
                <w:color w:val="auto"/>
                <w:sz w:val="21"/>
                <w:szCs w:val="21"/>
                <w:vertAlign w:val="baseline"/>
                <w:lang w:val="en-US" w:eastAsia="zh-CN"/>
              </w:rPr>
              <w:t>O，绿色或草绿色单斜棱柱状结晶。本品相对密度1.921，熔点80℃。易溶于水、乙醇，其水溶液呈微酸性，在干燥空气中易风化，在潮湿空气中易潮解，加热至140℃以上时完全失去结晶水而呈黄棕色粉末。本品与钾发生剧烈反应。受高热分解，放出有毒的烟气。接触者可发生接触性皮炎或过敏性湿疹。吸入本品粉尘，可发生支气管炎或支气管肺炎、过敏性肺炎，并可并发肾上腺皮质功能不全。镍化合物属致癌物。</w:t>
            </w:r>
          </w:p>
          <w:p>
            <w:pPr>
              <w:spacing w:line="240" w:lineRule="auto"/>
              <w:ind w:firstLine="420" w:firstLineChars="200"/>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本品用内衬聚乙烯塑料袋封口的塑料编织袋包装。应贮存于阴凉、干燥、通风的库房。切忌与碱金属、氧化剂、食用化工原料等混贮共运，搬运时要轻装轻卸，防止包装及容器损坏。运输途中应防日晒、雨淋。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350"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硫酸</w:t>
            </w:r>
          </w:p>
        </w:tc>
        <w:tc>
          <w:tcPr>
            <w:tcW w:w="6308" w:type="dxa"/>
            <w:tcBorders>
              <w:tl2br w:val="nil"/>
              <w:tr2bl w:val="nil"/>
            </w:tcBorders>
            <w:vAlign w:val="center"/>
          </w:tcPr>
          <w:p>
            <w:pPr>
              <w:spacing w:line="240" w:lineRule="auto"/>
              <w:ind w:firstLine="420" w:firstLineChars="200"/>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硫酸是一种无机化合物，化学式是H</w:t>
            </w:r>
            <w:r>
              <w:rPr>
                <w:rFonts w:hint="default" w:ascii="Times New Roman" w:hAnsi="Times New Roman" w:cs="Times New Roman"/>
                <w:b w:val="0"/>
                <w:bCs w:val="0"/>
                <w:color w:val="auto"/>
                <w:sz w:val="21"/>
                <w:szCs w:val="21"/>
                <w:vertAlign w:val="subscript"/>
                <w:lang w:val="en-US" w:eastAsia="zh-CN"/>
              </w:rPr>
              <w:t>2</w:t>
            </w:r>
            <w:r>
              <w:rPr>
                <w:rFonts w:hint="default" w:ascii="Times New Roman" w:hAnsi="Times New Roman" w:cs="Times New Roman"/>
                <w:b w:val="0"/>
                <w:bCs w:val="0"/>
                <w:color w:val="auto"/>
                <w:sz w:val="21"/>
                <w:szCs w:val="21"/>
                <w:vertAlign w:val="baseline"/>
                <w:lang w:val="en-US" w:eastAsia="zh-CN"/>
              </w:rPr>
              <w:t>SO</w:t>
            </w:r>
            <w:r>
              <w:rPr>
                <w:rFonts w:hint="default" w:ascii="Times New Roman" w:hAnsi="Times New Roman" w:cs="Times New Roman"/>
                <w:b w:val="0"/>
                <w:bCs w:val="0"/>
                <w:color w:val="auto"/>
                <w:sz w:val="21"/>
                <w:szCs w:val="21"/>
                <w:vertAlign w:val="subscript"/>
                <w:lang w:val="en-US" w:eastAsia="zh-CN"/>
              </w:rPr>
              <w:t>4</w:t>
            </w:r>
            <w:r>
              <w:rPr>
                <w:rFonts w:hint="default" w:ascii="Times New Roman" w:hAnsi="Times New Roman" w:cs="Times New Roman"/>
                <w:b w:val="0"/>
                <w:bCs w:val="0"/>
                <w:color w:val="auto"/>
                <w:sz w:val="21"/>
                <w:szCs w:val="21"/>
                <w:vertAlign w:val="baseline"/>
                <w:lang w:val="en-US" w:eastAsia="zh-CN"/>
              </w:rPr>
              <w:t>，是硫的最重要的含氧酸。纯净的硫酸为无色油状液体，10.36℃时结晶，通常使用的是它的各种不同浓度的水溶液，用塔式法和接触法制取。前者所得为粗制稀硫酸，质量分数一般在75%左右；后者可得质量分数98.3%的浓硫酸，沸点338℃，相对密度1.84。</w:t>
            </w:r>
          </w:p>
          <w:p>
            <w:pPr>
              <w:spacing w:line="240" w:lineRule="auto"/>
              <w:ind w:firstLine="420" w:firstLineChars="200"/>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健康危害：对皮肤、粘膜等组织有强烈的刺激和腐蚀作用。蒸气或雾可引起结膜炎、结膜水肿、角膜混浊，以致失明；引起呼吸道刺激，重者发生呼吸困难和肺水肿；高浓度引起喉痉挛或声门水肿而窒息死亡。口服后引起消化道烧伤以致溃疡形成；严重者可能有胃穿孔、腹膜炎、肾损害、休克等。皮肤灼伤轻者出现红斑、重者形成溃疡，愈后癍痕收缩影响功能。溅入眼内可造成灼伤，甚至角膜穿孔、全眼炎以至失明。 </w:t>
            </w:r>
          </w:p>
          <w:p>
            <w:pPr>
              <w:spacing w:line="240" w:lineRule="auto"/>
              <w:ind w:firstLine="420" w:firstLineChars="200"/>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慢性影响：牙齿酸蚀症、慢性支气管炎、肺气肿和肺硬化。</w:t>
            </w:r>
          </w:p>
          <w:p>
            <w:pPr>
              <w:spacing w:line="240" w:lineRule="auto"/>
              <w:ind w:firstLine="420" w:firstLineChars="200"/>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危险特性：遇水大量放热, 可发生沸溅。与易燃物（如苯）和可燃物（如糖、纤维素等）接触会发生剧烈反应，甚至引起燃烧。遇电石、高氯酸盐、雷酸盐、硝酸盐、苦味酸盐、金属粉末等猛烈反应，发生爆炸或燃烧。有强烈的腐蚀性和吸水性。对环境有危害，对水体和土壤可造成污染。本品助燃，具强腐蚀性、强刺激性，可致人体灼伤。</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w:t>
      </w:r>
      <w:r>
        <w:rPr>
          <w:rFonts w:hint="eastAsia" w:ascii="Times New Roman" w:hAnsi="Times New Roman" w:cs="Times New Roman"/>
          <w:b w:val="0"/>
          <w:bCs w:val="0"/>
          <w:color w:val="auto"/>
          <w:sz w:val="24"/>
          <w:szCs w:val="24"/>
          <w:lang w:val="en-US" w:eastAsia="zh-CN"/>
        </w:rPr>
        <w:t>6</w:t>
      </w:r>
      <w:r>
        <w:rPr>
          <w:rFonts w:hint="default" w:ascii="Times New Roman" w:hAnsi="Times New Roman" w:cs="Times New Roman"/>
          <w:b w:val="0"/>
          <w:bCs w:val="0"/>
          <w:color w:val="auto"/>
          <w:sz w:val="24"/>
          <w:szCs w:val="24"/>
          <w:lang w:val="en-US" w:eastAsia="zh-CN"/>
        </w:rPr>
        <w:t>能源消耗情况</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企业近三年水、电能源消耗见下表。</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w:t>
      </w:r>
      <w:r>
        <w:rPr>
          <w:rFonts w:hint="eastAsia" w:ascii="Times New Roman" w:hAnsi="Times New Roman" w:cs="Times New Roman"/>
          <w:b w:val="0"/>
          <w:bCs w:val="0"/>
          <w:color w:val="auto"/>
          <w:sz w:val="24"/>
          <w:szCs w:val="24"/>
          <w:lang w:val="en-US" w:eastAsia="zh-CN"/>
        </w:rPr>
        <w:t>5</w:t>
      </w:r>
      <w:r>
        <w:rPr>
          <w:rFonts w:hint="default" w:ascii="Times New Roman" w:hAnsi="Times New Roman" w:cs="Times New Roman"/>
          <w:b w:val="0"/>
          <w:bCs w:val="0"/>
          <w:color w:val="auto"/>
          <w:sz w:val="24"/>
          <w:szCs w:val="24"/>
          <w:lang w:val="en-US" w:eastAsia="zh-CN"/>
        </w:rPr>
        <w:t xml:space="preserve">   企业近三年能源消耗情况</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230"/>
        <w:gridCol w:w="915"/>
        <w:gridCol w:w="930"/>
        <w:gridCol w:w="960"/>
        <w:gridCol w:w="960"/>
        <w:gridCol w:w="900"/>
        <w:gridCol w:w="928"/>
        <w:gridCol w:w="9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gridSpan w:val="2"/>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项目</w:t>
            </w:r>
          </w:p>
        </w:tc>
        <w:tc>
          <w:tcPr>
            <w:tcW w:w="915"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单位</w:t>
            </w:r>
          </w:p>
        </w:tc>
        <w:tc>
          <w:tcPr>
            <w:tcW w:w="2850" w:type="dxa"/>
            <w:gridSpan w:val="3"/>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近三年总消耗量</w:t>
            </w:r>
          </w:p>
        </w:tc>
        <w:tc>
          <w:tcPr>
            <w:tcW w:w="2811" w:type="dxa"/>
            <w:gridSpan w:val="3"/>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近三年单耗量（/t-产品）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gridSpan w:val="2"/>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p>
        </w:tc>
        <w:tc>
          <w:tcPr>
            <w:tcW w:w="9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93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2018年</w:t>
            </w:r>
          </w:p>
        </w:tc>
        <w:tc>
          <w:tcPr>
            <w:tcW w:w="96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2019年</w:t>
            </w:r>
          </w:p>
        </w:tc>
        <w:tc>
          <w:tcPr>
            <w:tcW w:w="96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2020年</w:t>
            </w:r>
          </w:p>
        </w:tc>
        <w:tc>
          <w:tcPr>
            <w:tcW w:w="90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2018年</w:t>
            </w:r>
          </w:p>
        </w:tc>
        <w:tc>
          <w:tcPr>
            <w:tcW w:w="928"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2019年</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2020年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Merge w:val="restart"/>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新鲜水</w:t>
            </w:r>
          </w:p>
        </w:tc>
        <w:tc>
          <w:tcPr>
            <w:tcW w:w="123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生产用水</w:t>
            </w:r>
            <w:r>
              <w:rPr>
                <w:rFonts w:hint="default" w:ascii="Times New Roman" w:hAnsi="Times New Roman" w:cs="Times New Roman" w:eastAsiaTheme="minorEastAsia"/>
                <w:b w:val="0"/>
                <w:bCs w:val="0"/>
                <w:color w:val="auto"/>
                <w:kern w:val="2"/>
                <w:sz w:val="21"/>
                <w:szCs w:val="21"/>
                <w:vertAlign w:val="baseline"/>
                <w:lang w:val="en-US" w:eastAsia="zh-CN" w:bidi="ar-SA"/>
              </w:rPr>
              <w:t xml:space="preserve"> </w:t>
            </w:r>
          </w:p>
        </w:tc>
        <w:tc>
          <w:tcPr>
            <w:tcW w:w="91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m</w:t>
            </w:r>
            <w:r>
              <w:rPr>
                <w:rFonts w:hint="default" w:ascii="Times New Roman" w:hAnsi="Times New Roman" w:cs="Times New Roman"/>
                <w:b w:val="0"/>
                <w:bCs w:val="0"/>
                <w:color w:val="auto"/>
                <w:sz w:val="21"/>
                <w:szCs w:val="21"/>
                <w:vertAlign w:val="superscript"/>
                <w:lang w:val="en-US" w:eastAsia="zh-CN"/>
              </w:rPr>
              <w:t>3</w:t>
            </w:r>
          </w:p>
        </w:tc>
        <w:tc>
          <w:tcPr>
            <w:tcW w:w="930" w:type="dxa"/>
            <w:tcBorders>
              <w:tl2br w:val="nil"/>
              <w:tr2bl w:val="nil"/>
            </w:tcBorders>
            <w:vAlign w:val="center"/>
          </w:tcPr>
          <w:p>
            <w:pPr>
              <w:jc w:val="center"/>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szCs w:val="21"/>
                <w:highlight w:val="none"/>
                <w:lang w:val="en-US" w:eastAsia="zh-CN"/>
              </w:rPr>
              <w:t>8672</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kern w:val="2"/>
                <w:sz w:val="21"/>
                <w:szCs w:val="21"/>
                <w:highlight w:val="none"/>
                <w:lang w:val="en-US" w:eastAsia="zh-CN" w:bidi="ar-SA"/>
              </w:rPr>
              <w:t>8894</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kern w:val="2"/>
                <w:sz w:val="21"/>
                <w:szCs w:val="21"/>
                <w:highlight w:val="none"/>
                <w:lang w:val="en-US" w:eastAsia="zh-CN" w:bidi="ar-SA"/>
              </w:rPr>
              <w:t>8755</w:t>
            </w:r>
          </w:p>
        </w:tc>
        <w:tc>
          <w:tcPr>
            <w:tcW w:w="90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24.33</w:t>
            </w:r>
          </w:p>
        </w:tc>
        <w:tc>
          <w:tcPr>
            <w:tcW w:w="928"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21.85</w:t>
            </w:r>
          </w:p>
        </w:tc>
        <w:tc>
          <w:tcPr>
            <w:tcW w:w="983"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21.51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p>
        </w:tc>
        <w:tc>
          <w:tcPr>
            <w:tcW w:w="123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生活用水</w:t>
            </w:r>
          </w:p>
        </w:tc>
        <w:tc>
          <w:tcPr>
            <w:tcW w:w="91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m</w:t>
            </w:r>
            <w:r>
              <w:rPr>
                <w:rFonts w:hint="default" w:ascii="Times New Roman" w:hAnsi="Times New Roman" w:cs="Times New Roman"/>
                <w:b w:val="0"/>
                <w:bCs w:val="0"/>
                <w:color w:val="auto"/>
                <w:sz w:val="21"/>
                <w:szCs w:val="21"/>
                <w:vertAlign w:val="superscript"/>
                <w:lang w:val="en-US" w:eastAsia="zh-CN"/>
              </w:rPr>
              <w:t>3</w:t>
            </w:r>
          </w:p>
        </w:tc>
        <w:tc>
          <w:tcPr>
            <w:tcW w:w="93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lang w:val="en-US" w:eastAsia="zh-CN"/>
              </w:rPr>
              <w:t>300</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300</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300</w:t>
            </w:r>
          </w:p>
        </w:tc>
        <w:tc>
          <w:tcPr>
            <w:tcW w:w="90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w:t>
            </w:r>
          </w:p>
        </w:tc>
        <w:tc>
          <w:tcPr>
            <w:tcW w:w="928"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w:t>
            </w:r>
          </w:p>
        </w:tc>
        <w:tc>
          <w:tcPr>
            <w:tcW w:w="983"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Merge w:val="restart"/>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w:t>
            </w:r>
          </w:p>
        </w:tc>
        <w:tc>
          <w:tcPr>
            <w:tcW w:w="123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生产用电</w:t>
            </w:r>
          </w:p>
        </w:tc>
        <w:tc>
          <w:tcPr>
            <w:tcW w:w="91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万kwh</w:t>
            </w:r>
          </w:p>
        </w:tc>
        <w:tc>
          <w:tcPr>
            <w:tcW w:w="93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lang w:val="en-US" w:eastAsia="zh-CN"/>
              </w:rPr>
              <w:t>70</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80</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80</w:t>
            </w:r>
          </w:p>
        </w:tc>
        <w:tc>
          <w:tcPr>
            <w:tcW w:w="90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0.196</w:t>
            </w:r>
          </w:p>
        </w:tc>
        <w:tc>
          <w:tcPr>
            <w:tcW w:w="928"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0.197</w:t>
            </w:r>
          </w:p>
        </w:tc>
        <w:tc>
          <w:tcPr>
            <w:tcW w:w="983"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0.197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p>
        </w:tc>
        <w:tc>
          <w:tcPr>
            <w:tcW w:w="123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生活用电</w:t>
            </w:r>
          </w:p>
        </w:tc>
        <w:tc>
          <w:tcPr>
            <w:tcW w:w="91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万kwh</w:t>
            </w:r>
          </w:p>
        </w:tc>
        <w:tc>
          <w:tcPr>
            <w:tcW w:w="93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lang w:val="en-US" w:eastAsia="zh-CN"/>
              </w:rPr>
              <w:t>0.6</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szCs w:val="21"/>
                <w:lang w:val="en-US" w:eastAsia="zh-CN"/>
              </w:rPr>
              <w:t>0.6</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szCs w:val="21"/>
                <w:lang w:val="en-US" w:eastAsia="zh-CN"/>
              </w:rPr>
              <w:t>0.6</w:t>
            </w:r>
          </w:p>
        </w:tc>
        <w:tc>
          <w:tcPr>
            <w:tcW w:w="90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w:t>
            </w:r>
          </w:p>
        </w:tc>
        <w:tc>
          <w:tcPr>
            <w:tcW w:w="928"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w:t>
            </w:r>
          </w:p>
        </w:tc>
        <w:tc>
          <w:tcPr>
            <w:tcW w:w="983"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kern w:val="2"/>
                <w:sz w:val="21"/>
                <w:szCs w:val="21"/>
                <w:lang w:val="en-US" w:eastAsia="zh-CN" w:bidi="ar-SA"/>
              </w:rPr>
              <w:t>/</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由上表显示，项目近几年能源消耗相比产品产能均处于稳定状态，变动情况较小。</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为了更详细的了解企业的用水、用电</w:t>
      </w:r>
      <w:r>
        <w:rPr>
          <w:rFonts w:hint="eastAsia" w:ascii="Times New Roman" w:hAnsi="Times New Roman" w:cs="Times New Roman"/>
          <w:b w:val="0"/>
          <w:bCs w:val="0"/>
          <w:color w:val="auto"/>
          <w:sz w:val="24"/>
          <w:szCs w:val="24"/>
          <w:lang w:val="en-US" w:eastAsia="zh-CN"/>
        </w:rPr>
        <w:t>、耗材</w:t>
      </w:r>
      <w:r>
        <w:rPr>
          <w:rFonts w:hint="default" w:ascii="Times New Roman" w:hAnsi="Times New Roman" w:cs="Times New Roman"/>
          <w:b w:val="0"/>
          <w:bCs w:val="0"/>
          <w:color w:val="auto"/>
          <w:sz w:val="24"/>
          <w:szCs w:val="24"/>
          <w:lang w:val="en-US" w:eastAsia="zh-CN"/>
        </w:rPr>
        <w:t>情况，根据各个车间、部门的统计结果，绘制电分布图</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水平衡图及</w:t>
      </w:r>
      <w:r>
        <w:rPr>
          <w:rFonts w:hint="eastAsia" w:ascii="Times New Roman" w:hAnsi="Times New Roman" w:cs="Times New Roman"/>
          <w:b w:val="0"/>
          <w:bCs w:val="0"/>
          <w:color w:val="auto"/>
          <w:sz w:val="24"/>
          <w:szCs w:val="24"/>
          <w:lang w:val="en-US" w:eastAsia="zh-CN"/>
        </w:rPr>
        <w:t>镍平衡图</w:t>
      </w:r>
      <w:r>
        <w:rPr>
          <w:rFonts w:hint="default" w:ascii="Times New Roman" w:hAnsi="Times New Roman" w:cs="Times New Roman"/>
          <w:b w:val="0"/>
          <w:bCs w:val="0"/>
          <w:color w:val="auto"/>
          <w:sz w:val="24"/>
          <w:szCs w:val="24"/>
          <w:lang w:val="en-US" w:eastAsia="zh-CN"/>
        </w:rPr>
        <w:t>。</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①企业用电情况</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2" o:spt="75" type="#_x0000_t75" style="height:154.7pt;width:337pt;" o:ole="t" filled="f" o:preferrelative="t" stroked="f" coordsize="21600,21600">
            <v:path/>
            <v:fill on="f" focussize="0,0"/>
            <v:stroke on="f"/>
            <v:imagedata r:id="rId28" o:title=""/>
            <o:lock v:ext="edit" aspectratio="t"/>
            <w10:wrap type="none"/>
            <w10:anchorlock/>
          </v:shape>
          <o:OLEObject Type="Embed" ProgID="Visio.Drawing.11" ShapeID="_x0000_i1032" DrawAspect="Content" ObjectID="_1468075732" r:id="rId27">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图3-4  项目电分布图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②项目水平衡图</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3" o:spt="75" type="#_x0000_t75" style="height:399.85pt;width:444.15pt;" o:ole="t" filled="f" o:preferrelative="t" stroked="f" coordsize="21600,21600">
            <v:path/>
            <v:fill on="f" focussize="0,0"/>
            <v:stroke on="f"/>
            <v:imagedata r:id="rId30" o:title=""/>
            <o:lock v:ext="edit" aspectratio="t"/>
            <w10:wrap type="none"/>
            <w10:anchorlock/>
          </v:shape>
          <o:OLEObject Type="Embed" ProgID="Visio.Drawing.11" ShapeID="_x0000_i1033" DrawAspect="Content" ObjectID="_1468075733" r:id="rId29">
            <o:LockedField>false</o:LockedField>
          </o:OLEObject>
        </w:object>
      </w:r>
      <w:r>
        <w:rPr>
          <w:rFonts w:hint="default" w:ascii="Times New Roman" w:hAnsi="Times New Roman" w:cs="Times New Roman"/>
          <w:b w:val="0"/>
          <w:bCs w:val="0"/>
          <w:color w:val="auto"/>
          <w:sz w:val="24"/>
          <w:szCs w:val="24"/>
          <w:lang w:val="en-US" w:eastAsia="zh-CN"/>
        </w:rPr>
        <w:t>图3-5  冲孔镀镍钢带水平衡图  单位t/d</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4" o:spt="75" type="#_x0000_t75" style="height:670.6pt;width:404.8pt;" o:ole="t" filled="f" o:preferrelative="t" stroked="f" coordsize="21600,21600">
            <v:path/>
            <v:fill on="f" focussize="0,0"/>
            <v:stroke on="f"/>
            <v:imagedata r:id="rId32" o:title=""/>
            <o:lock v:ext="edit" aspectratio="t"/>
            <w10:wrap type="none"/>
            <w10:anchorlock/>
          </v:shape>
          <o:OLEObject Type="Embed" ProgID="Visio.Drawing.11" ShapeID="_x0000_i1034" DrawAspect="Content" ObjectID="_1468075734" r:id="rId31">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图3-6  1#电池钢壳生产线水平衡图  单位t/d</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5" o:spt="75" type="#_x0000_t75" style="height:667.2pt;width:393.95pt;" o:ole="t" filled="f" o:preferrelative="t" stroked="f" coordsize="21600,21600">
            <v:path/>
            <v:fill on="f" focussize="0,0"/>
            <v:stroke on="f"/>
            <v:imagedata r:id="rId34" o:title=""/>
            <o:lock v:ext="edit" aspectratio="t"/>
            <w10:wrap type="none"/>
            <w10:anchorlock/>
          </v:shape>
          <o:OLEObject Type="Embed" ProgID="Visio.Drawing.11" ShapeID="_x0000_i1035" DrawAspect="Content" ObjectID="_1468075735" r:id="rId33">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图3-7  2#电池钢壳生产线水平衡图  单位t/d</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6" o:spt="75" type="#_x0000_t75" style="height:668pt;width:383.9pt;" o:ole="t" filled="f" o:preferrelative="t" stroked="f" coordsize="21600,21600">
            <v:path/>
            <v:fill on="f" focussize="0,0"/>
            <v:stroke on="f"/>
            <v:imagedata r:id="rId36" o:title=""/>
            <o:lock v:ext="edit" aspectratio="t"/>
            <w10:wrap type="none"/>
            <w10:anchorlock/>
          </v:shape>
          <o:OLEObject Type="Embed" ProgID="Visio.Drawing.11" ShapeID="_x0000_i1036" DrawAspect="Content" ObjectID="_1468075736" r:id="rId35">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图3-8  项目全厂水平衡图  单位t/d</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③</w:t>
      </w:r>
      <w:r>
        <w:rPr>
          <w:rFonts w:hint="eastAsia" w:ascii="Times New Roman" w:hAnsi="Times New Roman" w:cs="Times New Roman"/>
          <w:b w:val="0"/>
          <w:bCs w:val="0"/>
          <w:color w:val="auto"/>
          <w:sz w:val="24"/>
          <w:szCs w:val="24"/>
          <w:lang w:val="en-US" w:eastAsia="zh-CN"/>
        </w:rPr>
        <w:t>镍平衡图</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u w:val="single"/>
          <w:lang w:val="en-US" w:eastAsia="zh-CN"/>
        </w:rPr>
        <w:object>
          <v:shape id="_x0000_i1037" o:spt="75" type="#_x0000_t75" style="height:142.65pt;width:306.85pt;" o:ole="t" filled="f" o:preferrelative="t" stroked="f" coordsize="21600,21600">
            <v:path/>
            <v:fill on="f" focussize="0,0"/>
            <v:stroke on="f"/>
            <v:imagedata r:id="rId38" o:title=""/>
            <o:lock v:ext="edit" aspectratio="t"/>
            <w10:wrap type="none"/>
            <w10:anchorlock/>
          </v:shape>
          <o:OLEObject Type="Embed" ProgID="Visio.Drawing.11" ShapeID="_x0000_i1037" DrawAspect="Content" ObjectID="_1468075737" r:id="rId37">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w:t>
      </w:r>
      <w:r>
        <w:rPr>
          <w:rFonts w:hint="eastAsia" w:ascii="Times New Roman" w:hAnsi="Times New Roman" w:cs="Times New Roman"/>
          <w:b w:val="0"/>
          <w:bCs w:val="0"/>
          <w:color w:val="auto"/>
          <w:sz w:val="24"/>
          <w:szCs w:val="24"/>
          <w:lang w:val="en-US" w:eastAsia="zh-CN"/>
        </w:rPr>
        <w:t>9</w:t>
      </w:r>
      <w:r>
        <w:rPr>
          <w:rFonts w:hint="default" w:ascii="Times New Roman" w:hAnsi="Times New Roman" w:cs="Times New Roman"/>
          <w:b w:val="0"/>
          <w:bCs w:val="0"/>
          <w:color w:val="auto"/>
          <w:sz w:val="24"/>
          <w:szCs w:val="24"/>
          <w:lang w:val="en-US" w:eastAsia="zh-CN"/>
        </w:rPr>
        <w:t xml:space="preserve">  项目</w:t>
      </w:r>
      <w:r>
        <w:rPr>
          <w:rFonts w:hint="eastAsia" w:ascii="Times New Roman" w:hAnsi="Times New Roman" w:cs="Times New Roman"/>
          <w:b w:val="0"/>
          <w:bCs w:val="0"/>
          <w:color w:val="auto"/>
          <w:sz w:val="24"/>
          <w:szCs w:val="24"/>
          <w:lang w:val="en-US" w:eastAsia="zh-CN"/>
        </w:rPr>
        <w:t>镍</w:t>
      </w:r>
      <w:r>
        <w:rPr>
          <w:rFonts w:hint="default" w:ascii="Times New Roman" w:hAnsi="Times New Roman" w:cs="Times New Roman"/>
          <w:b w:val="0"/>
          <w:bCs w:val="0"/>
          <w:color w:val="auto"/>
          <w:sz w:val="24"/>
          <w:szCs w:val="24"/>
          <w:lang w:val="en-US" w:eastAsia="zh-CN"/>
        </w:rPr>
        <w:t>平衡图  单位t</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w:t>
      </w:r>
      <w:r>
        <w:rPr>
          <w:rFonts w:hint="eastAsia" w:ascii="Times New Roman" w:hAnsi="Times New Roman" w:cs="Times New Roman"/>
          <w:b w:val="0"/>
          <w:bCs w:val="0"/>
          <w:color w:val="auto"/>
          <w:sz w:val="24"/>
          <w:szCs w:val="24"/>
          <w:lang w:val="en-US" w:eastAsia="zh-CN"/>
        </w:rPr>
        <w:t>7</w:t>
      </w:r>
      <w:r>
        <w:rPr>
          <w:rFonts w:hint="default" w:ascii="Times New Roman" w:hAnsi="Times New Roman" w:cs="Times New Roman"/>
          <w:b w:val="0"/>
          <w:bCs w:val="0"/>
          <w:color w:val="auto"/>
          <w:sz w:val="24"/>
          <w:szCs w:val="24"/>
          <w:lang w:val="en-US" w:eastAsia="zh-CN"/>
        </w:rPr>
        <w:t>主要生产设施及设备</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设备管理情况：企业的设备主要由财务科管理，其主要职责：一是统计现有设备及其运行情况；二是建立各项设备维修保养制度、设备安全操作规程、设备运行记录、维修记录及各种台账；三是根据生产情况，对下阶段所需要的设备进行申报；四是对设备运行情况进行跟踪，对出故障的设备及时响应，确保设备安全高效运行；五是及时了解国家产业政策，了解先进的工艺和设备，及时淘汰国家明令淘汰的设备，并引进新设备。</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2021年企业设备情况统计见下表。</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表3-5  生产设备清单</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3"/>
        <w:gridCol w:w="1856"/>
        <w:gridCol w:w="2910"/>
        <w:gridCol w:w="266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序号</w:t>
            </w:r>
          </w:p>
        </w:tc>
        <w:tc>
          <w:tcPr>
            <w:tcW w:w="185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设备名称</w:t>
            </w:r>
          </w:p>
        </w:tc>
        <w:tc>
          <w:tcPr>
            <w:tcW w:w="291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规格</w:t>
            </w:r>
          </w:p>
        </w:tc>
        <w:tc>
          <w:tcPr>
            <w:tcW w:w="26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数量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85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冲床</w:t>
            </w:r>
          </w:p>
        </w:tc>
        <w:tc>
          <w:tcPr>
            <w:tcW w:w="291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15T</w:t>
            </w:r>
          </w:p>
        </w:tc>
        <w:tc>
          <w:tcPr>
            <w:tcW w:w="26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27台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85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包装机</w:t>
            </w:r>
          </w:p>
        </w:tc>
        <w:tc>
          <w:tcPr>
            <w:tcW w:w="291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厂家自制</w:t>
            </w:r>
          </w:p>
        </w:tc>
        <w:tc>
          <w:tcPr>
            <w:tcW w:w="26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85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车床</w:t>
            </w:r>
          </w:p>
        </w:tc>
        <w:tc>
          <w:tcPr>
            <w:tcW w:w="291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厂家自制</w:t>
            </w:r>
          </w:p>
        </w:tc>
        <w:tc>
          <w:tcPr>
            <w:tcW w:w="26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c>
          <w:tcPr>
            <w:tcW w:w="185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磨床</w:t>
            </w:r>
          </w:p>
        </w:tc>
        <w:tc>
          <w:tcPr>
            <w:tcW w:w="291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厂家自制</w:t>
            </w:r>
          </w:p>
        </w:tc>
        <w:tc>
          <w:tcPr>
            <w:tcW w:w="26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5</w:t>
            </w:r>
          </w:p>
        </w:tc>
        <w:tc>
          <w:tcPr>
            <w:tcW w:w="1856"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电镀线</w:t>
            </w:r>
          </w:p>
        </w:tc>
        <w:tc>
          <w:tcPr>
            <w:tcW w:w="291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厂家自制</w:t>
            </w:r>
          </w:p>
        </w:tc>
        <w:tc>
          <w:tcPr>
            <w:tcW w:w="266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3</w:t>
            </w:r>
            <w:r>
              <w:rPr>
                <w:rFonts w:hint="default" w:ascii="Times New Roman" w:hAnsi="Times New Roman" w:cs="Times New Roman"/>
                <w:b w:val="0"/>
                <w:bCs w:val="0"/>
                <w:color w:val="auto"/>
                <w:sz w:val="21"/>
                <w:szCs w:val="21"/>
                <w:vertAlign w:val="baseline"/>
                <w:lang w:val="en-US" w:eastAsia="zh-CN"/>
              </w:rPr>
              <w:t>条</w:t>
            </w:r>
          </w:p>
        </w:tc>
      </w:tr>
    </w:tbl>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表3-6  电镀线参数</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896"/>
        <w:gridCol w:w="3426"/>
        <w:gridCol w:w="1050"/>
        <w:gridCol w:w="13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序号</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名称</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规格</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数量</w:t>
            </w:r>
          </w:p>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（个）</w:t>
            </w:r>
          </w:p>
        </w:tc>
        <w:tc>
          <w:tcPr>
            <w:tcW w:w="138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除油槽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材质为塑料，2m×1m×1m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冲孔镀镍钢带生产线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除油后水洗槽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酸洗槽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材质为塑料，1m×1m×1m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酸洗后水洗槽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5</w:t>
            </w:r>
          </w:p>
        </w:tc>
        <w:tc>
          <w:tcPr>
            <w:tcW w:w="1896"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电镀槽</w:t>
            </w:r>
          </w:p>
        </w:tc>
        <w:tc>
          <w:tcPr>
            <w:tcW w:w="3426"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材质为塑料，7m×1m×1m</w:t>
            </w:r>
          </w:p>
        </w:tc>
        <w:tc>
          <w:tcPr>
            <w:tcW w:w="105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6</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电镀后镍回收槽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材质为塑料，0.6m×1m×1m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7</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电镀后水洗槽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材质为塑料，0.6m×1m×1m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电烘箱</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材质为塑料，2.5m×1m×1m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9</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除油槽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材质为塑料，0.9m×1.8m×1m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18</w:t>
            </w:r>
          </w:p>
        </w:tc>
        <w:tc>
          <w:tcPr>
            <w:tcW w:w="1383"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1#镀镍电池钢壳生产线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w:t>
            </w:r>
          </w:p>
        </w:tc>
        <w:tc>
          <w:tcPr>
            <w:tcW w:w="1896"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除油后水洗槽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材质为塑料，0.9m×1.8m×1m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89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11</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酸洗槽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12</w:t>
            </w:r>
          </w:p>
        </w:tc>
        <w:tc>
          <w:tcPr>
            <w:tcW w:w="1896"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酸洗后水洗槽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13</w:t>
            </w:r>
          </w:p>
        </w:tc>
        <w:tc>
          <w:tcPr>
            <w:tcW w:w="1896"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电镀槽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材质为塑料，1.9m×1.8m×1m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14</w:t>
            </w:r>
          </w:p>
        </w:tc>
        <w:tc>
          <w:tcPr>
            <w:tcW w:w="1896"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电镀后镍回收槽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15</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电镀后水洗槽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16</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漂白槽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17</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漂白后水洗槽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18</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一次中和槽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19</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一次中和后水洗槽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钝化槽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21</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钝化后水洗槽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22</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二次中和槽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23</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二次中和后水洗槽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24</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保护槽</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25</w:t>
            </w:r>
          </w:p>
        </w:tc>
        <w:tc>
          <w:tcPr>
            <w:tcW w:w="1896"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电烘箱</w:t>
            </w:r>
          </w:p>
        </w:tc>
        <w:tc>
          <w:tcPr>
            <w:tcW w:w="34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材质为塑料，0.7m×1.8m×1m</w:t>
            </w:r>
          </w:p>
        </w:tc>
        <w:tc>
          <w:tcPr>
            <w:tcW w:w="10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26</w:t>
            </w:r>
          </w:p>
        </w:tc>
        <w:tc>
          <w:tcPr>
            <w:tcW w:w="1896"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除油槽</w:t>
            </w:r>
          </w:p>
        </w:tc>
        <w:tc>
          <w:tcPr>
            <w:tcW w:w="3426"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材质为塑料，1m×1.7m×1m</w:t>
            </w:r>
          </w:p>
        </w:tc>
        <w:tc>
          <w:tcPr>
            <w:tcW w:w="105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10</w:t>
            </w:r>
          </w:p>
        </w:tc>
        <w:tc>
          <w:tcPr>
            <w:tcW w:w="1383"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w:t>
            </w:r>
            <w:r>
              <w:rPr>
                <w:rFonts w:hint="default" w:ascii="Times New Roman" w:hAnsi="Times New Roman" w:cs="Times New Roman"/>
                <w:b w:val="0"/>
                <w:bCs w:val="0"/>
                <w:color w:val="auto"/>
                <w:sz w:val="21"/>
                <w:szCs w:val="21"/>
                <w:vertAlign w:val="baseline"/>
                <w:lang w:val="en-US" w:eastAsia="zh-CN"/>
              </w:rPr>
              <w:t>#镀镍电池钢壳生产线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Merge w:val="restart"/>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27</w:t>
            </w:r>
          </w:p>
        </w:tc>
        <w:tc>
          <w:tcPr>
            <w:tcW w:w="1896" w:type="dxa"/>
            <w:vMerge w:val="restart"/>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除油后水洗槽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材质为塑料，1m×1.7m×1m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896" w:type="dxa"/>
            <w:vMerge w:val="continue"/>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28</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酸洗槽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29</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酸洗后水洗槽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30</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电镀槽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材质为塑料，1.9m×1.7m×1m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8</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31</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电镀后镍回收槽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32</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电镀后水洗槽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33</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漂白槽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34</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漂白后水洗槽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35</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一次中和槽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36</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一次中和后水洗槽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37</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钝化槽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38</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钝化后水洗槽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3</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39</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二次中和槽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40</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二次中和后水洗槽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3</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41</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保护槽</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2</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4"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42</w:t>
            </w:r>
          </w:p>
        </w:tc>
        <w:tc>
          <w:tcPr>
            <w:tcW w:w="189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电烘箱</w:t>
            </w:r>
          </w:p>
        </w:tc>
        <w:tc>
          <w:tcPr>
            <w:tcW w:w="3426"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材质为塑料，0.8m×1.7m×1m</w:t>
            </w:r>
          </w:p>
        </w:tc>
        <w:tc>
          <w:tcPr>
            <w:tcW w:w="1050"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8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经现场调研及调查可知，生产设备均满足国家政策要求，企业主要设备均采用高效节能设备，企业设备整体运行较好，对照《高耗能落后机电设备淘汰目录》（第一、二、三、四批），企业无落后淘汰设备。</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3.1.6企业环境保护现状</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3.1.6.1环保管理现状</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新乡市俊业新材料有限公司年产冲孔镀镍钢带240吨、钢壳8000万只项目”于2013年6月建成并投用，建设前无环评手续。2016年4月，新乡市政府根据《河南省环境保护委员会办公室关于做好环保违法违规建设项目清理整改工作的实施意见（豫环委办【2016】22号）》的相关要求成立了整改环保违法违规建设项目领导小组，在清理活动中将该项目列入《环保违法违规建设项目名单》，2016年9月，该项目编制完成了《新乡市俊业新材料有限公司年产冲孔镀镍钢带240吨、钢壳8000万只项目现状环境影响评估报告》，申报与新乡市环境保护局牧野分局进行环保行政管理备案，备案号为牧环清改备第02号。期间完善了厂区废水、废气等环保治理设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公司多年来十分重视环境保护管理工作。在环保机构建设方面，本公司环保工作由安全环保部主抓，设备工程部及生产部相互配合全权负责企业环保管理工作，各生产车间设置专职安全环保员，形成了全厂环保管理网络，编制有环境保护管理工作制度，制定了环保管理、环保监督、环境监测、污染治理等环保职责，明确了考核指标和指标实施细则，把环境保护管理列入生产管理议事日程和企业管理、工作标准，定期组织环境保护培训工作。公司污水通过管道排入污水处理站，总排口设置在线监测装置，并严格按照新乡市相关规定定期开展监督性监测。</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各项环保手续齐备，结合了国家有关法律法规，建立有废气、废水、噪声、固体废弃物等管理规定和环境保护设施管理办法，将环保管理职能与生产管理同步实行，由专人负责，从而保证厂内所属环保设施的稳定正常运行。同时积极配合当地环保管理部门的工作，环保管理情况执行较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3.1.6.2污染物排放执行标准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企业污染物排放执行标准限值如下表所示。</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 3-6   企业污染物排放执行标准限值</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1515"/>
        <w:gridCol w:w="2092"/>
        <w:gridCol w:w="1763"/>
        <w:gridCol w:w="2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污染类别</w:t>
            </w:r>
          </w:p>
        </w:tc>
        <w:tc>
          <w:tcPr>
            <w:tcW w:w="3607" w:type="dxa"/>
            <w:gridSpan w:val="2"/>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标准名称</w:t>
            </w: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污染因子</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restart"/>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废水</w:t>
            </w:r>
          </w:p>
        </w:tc>
        <w:tc>
          <w:tcPr>
            <w:tcW w:w="1515" w:type="dxa"/>
            <w:vMerge w:val="restart"/>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《电镀污染排放标准》（GB21900-2008）表2</w:t>
            </w:r>
          </w:p>
        </w:tc>
        <w:tc>
          <w:tcPr>
            <w:tcW w:w="2092"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车间或生产设施废水排放口</w:t>
            </w: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总镍</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restart"/>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企业废水总排口</w:t>
            </w: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PH</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COD</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SS</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NH</w:t>
            </w:r>
            <w:r>
              <w:rPr>
                <w:rFonts w:hint="default" w:ascii="Times New Roman" w:hAnsi="Times New Roman" w:cs="Times New Roman"/>
                <w:b w:val="0"/>
                <w:bCs w:val="0"/>
                <w:color w:val="auto"/>
                <w:sz w:val="21"/>
                <w:szCs w:val="21"/>
                <w:vertAlign w:val="subscript"/>
                <w:lang w:val="en-US" w:eastAsia="zh-CN"/>
              </w:rPr>
              <w:t>3</w:t>
            </w:r>
            <w:r>
              <w:rPr>
                <w:rFonts w:hint="default" w:ascii="Times New Roman" w:hAnsi="Times New Roman" w:cs="Times New Roman"/>
                <w:b w:val="0"/>
                <w:bCs w:val="0"/>
                <w:color w:val="auto"/>
                <w:sz w:val="21"/>
                <w:szCs w:val="21"/>
                <w:vertAlign w:val="baseline"/>
                <w:lang w:val="en-US" w:eastAsia="zh-CN"/>
              </w:rPr>
              <w:t>-N</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石油类</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TP</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TN</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Merge w:val="restart"/>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单位产品基准排水量</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500L/m</w:t>
            </w:r>
            <w:r>
              <w:rPr>
                <w:rFonts w:hint="default" w:ascii="Times New Roman" w:hAnsi="Times New Roman" w:cs="Times New Roman"/>
                <w:b w:val="0"/>
                <w:bCs w:val="0"/>
                <w:color w:val="auto"/>
                <w:sz w:val="21"/>
                <w:szCs w:val="21"/>
                <w:vertAlign w:val="superscript"/>
                <w:lang w:val="en-US" w:eastAsia="zh-CN"/>
              </w:rPr>
              <w:t>2</w:t>
            </w:r>
            <w:r>
              <w:rPr>
                <w:rFonts w:hint="default" w:ascii="Times New Roman" w:hAnsi="Times New Roman" w:cs="Times New Roman"/>
                <w:b w:val="0"/>
                <w:bCs w:val="0"/>
                <w:color w:val="auto"/>
                <w:sz w:val="21"/>
                <w:szCs w:val="21"/>
                <w:vertAlign w:val="baseline"/>
                <w:lang w:val="en-US" w:eastAsia="zh-CN"/>
              </w:rPr>
              <w:t>镀件镀层（多层镀）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200L/m</w:t>
            </w:r>
            <w:r>
              <w:rPr>
                <w:rFonts w:hint="default" w:ascii="Times New Roman" w:hAnsi="Times New Roman" w:cs="Times New Roman"/>
                <w:b w:val="0"/>
                <w:bCs w:val="0"/>
                <w:color w:val="auto"/>
                <w:sz w:val="21"/>
                <w:szCs w:val="21"/>
                <w:vertAlign w:val="superscript"/>
                <w:lang w:val="en-US" w:eastAsia="zh-CN"/>
              </w:rPr>
              <w:t>2</w:t>
            </w:r>
            <w:r>
              <w:rPr>
                <w:rFonts w:hint="default" w:ascii="Times New Roman" w:hAnsi="Times New Roman" w:cs="Times New Roman"/>
                <w:b w:val="0"/>
                <w:bCs w:val="0"/>
                <w:color w:val="auto"/>
                <w:sz w:val="21"/>
                <w:szCs w:val="21"/>
                <w:vertAlign w:val="baseline"/>
                <w:lang w:val="en-US" w:eastAsia="zh-CN"/>
              </w:rPr>
              <w:t>镀件镀层（单层镀）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restart"/>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新乡市小尚庄污水处理厂收水水质标准</w:t>
            </w: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COD</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350mg/L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SS</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NH</w:t>
            </w:r>
            <w:r>
              <w:rPr>
                <w:rFonts w:hint="default" w:ascii="Times New Roman" w:hAnsi="Times New Roman" w:cs="Times New Roman"/>
                <w:b w:val="0"/>
                <w:bCs w:val="0"/>
                <w:color w:val="auto"/>
                <w:sz w:val="21"/>
                <w:szCs w:val="21"/>
                <w:vertAlign w:val="subscript"/>
                <w:lang w:val="en-US" w:eastAsia="zh-CN"/>
              </w:rPr>
              <w:t>3</w:t>
            </w:r>
            <w:r>
              <w:rPr>
                <w:rFonts w:hint="default" w:ascii="Times New Roman" w:hAnsi="Times New Roman" w:cs="Times New Roman"/>
                <w:b w:val="0"/>
                <w:bCs w:val="0"/>
                <w:color w:val="auto"/>
                <w:sz w:val="21"/>
                <w:szCs w:val="21"/>
                <w:vertAlign w:val="baseline"/>
                <w:lang w:val="en-US" w:eastAsia="zh-CN"/>
              </w:rPr>
              <w:t>-N</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TP</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continue"/>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TN</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089" w:type="dxa"/>
            <w:vMerge w:val="restart"/>
            <w:tcBorders>
              <w:left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废气</w:t>
            </w:r>
          </w:p>
        </w:tc>
        <w:tc>
          <w:tcPr>
            <w:tcW w:w="3607" w:type="dxa"/>
            <w:gridSpan w:val="2"/>
            <w:vMerge w:val="restart"/>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《大气污染物综合排放标准》（GB16297-1996）</w:t>
            </w:r>
          </w:p>
        </w:tc>
        <w:tc>
          <w:tcPr>
            <w:tcW w:w="1763" w:type="dxa"/>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硫酸雾</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superscript"/>
                <w:lang w:val="en-US" w:eastAsia="zh-CN"/>
              </w:rPr>
            </w:pPr>
            <w:r>
              <w:rPr>
                <w:rFonts w:hint="default" w:ascii="Times New Roman" w:hAnsi="Times New Roman" w:cs="Times New Roman"/>
                <w:b w:val="0"/>
                <w:bCs w:val="0"/>
                <w:color w:val="auto"/>
                <w:sz w:val="21"/>
                <w:szCs w:val="21"/>
                <w:highlight w:val="none"/>
                <w:vertAlign w:val="baseline"/>
                <w:lang w:val="en-US" w:eastAsia="zh-CN"/>
              </w:rPr>
              <w:t>45mg/m</w:t>
            </w:r>
            <w:r>
              <w:rPr>
                <w:rFonts w:hint="default" w:ascii="Times New Roman" w:hAnsi="Times New Roman" w:cs="Times New Roman"/>
                <w:b w:val="0"/>
                <w:bCs w:val="0"/>
                <w:color w:val="auto"/>
                <w:sz w:val="21"/>
                <w:szCs w:val="21"/>
                <w:highlight w:val="none"/>
                <w:vertAlign w:val="superscript"/>
                <w:lang w:val="en-US" w:eastAsia="zh-CN"/>
              </w:rPr>
              <w:t>3</w:t>
            </w:r>
          </w:p>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（15m高排气筒），</w:t>
            </w:r>
            <w:r>
              <w:rPr>
                <w:rFonts w:hint="default" w:ascii="Times New Roman" w:hAnsi="Times New Roman" w:cs="Times New Roman"/>
                <w:b w:val="0"/>
                <w:bCs w:val="0"/>
                <w:color w:val="auto"/>
                <w:sz w:val="21"/>
                <w:szCs w:val="21"/>
                <w:highlight w:val="none"/>
                <w:vertAlign w:val="baseline"/>
                <w:lang w:val="en-US" w:eastAsia="zh-CN"/>
              </w:rPr>
              <w:br w:type="textWrapping"/>
            </w:r>
            <w:r>
              <w:rPr>
                <w:rFonts w:hint="default" w:ascii="Times New Roman" w:hAnsi="Times New Roman" w:cs="Times New Roman"/>
                <w:b w:val="0"/>
                <w:bCs w:val="0"/>
                <w:color w:val="auto"/>
                <w:sz w:val="21"/>
                <w:szCs w:val="21"/>
                <w:highlight w:val="none"/>
                <w:vertAlign w:val="baseline"/>
                <w:lang w:val="en-US" w:eastAsia="zh-CN"/>
              </w:rPr>
              <w:t>周界1.2mg/m</w:t>
            </w:r>
            <w:r>
              <w:rPr>
                <w:rFonts w:hint="default" w:ascii="Times New Roman" w:hAnsi="Times New Roman" w:cs="Times New Roman"/>
                <w:b w:val="0"/>
                <w:bCs w:val="0"/>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c>
          <w:tcPr>
            <w:tcW w:w="3607" w:type="dxa"/>
            <w:gridSpan w:val="2"/>
            <w:vMerge w:val="continue"/>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c>
          <w:tcPr>
            <w:tcW w:w="1763" w:type="dxa"/>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HCl酸雾</w:t>
            </w:r>
          </w:p>
        </w:tc>
        <w:tc>
          <w:tcPr>
            <w:tcW w:w="2063" w:type="dxa"/>
            <w:tcBorders>
              <w:right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superscript"/>
                <w:lang w:val="en-US" w:eastAsia="zh-CN"/>
              </w:rPr>
            </w:pPr>
            <w:r>
              <w:rPr>
                <w:rFonts w:hint="default" w:ascii="Times New Roman" w:hAnsi="Times New Roman" w:cs="Times New Roman"/>
                <w:b w:val="0"/>
                <w:bCs w:val="0"/>
                <w:color w:val="auto"/>
                <w:sz w:val="21"/>
                <w:szCs w:val="21"/>
                <w:highlight w:val="none"/>
                <w:vertAlign w:val="baseline"/>
                <w:lang w:val="en-US" w:eastAsia="zh-CN"/>
              </w:rPr>
              <w:t>100mg/m</w:t>
            </w:r>
            <w:r>
              <w:rPr>
                <w:rFonts w:hint="default" w:ascii="Times New Roman" w:hAnsi="Times New Roman" w:cs="Times New Roman"/>
                <w:b w:val="0"/>
                <w:bCs w:val="0"/>
                <w:color w:val="auto"/>
                <w:sz w:val="21"/>
                <w:szCs w:val="21"/>
                <w:highlight w:val="none"/>
                <w:vertAlign w:val="superscript"/>
                <w:lang w:val="en-US" w:eastAsia="zh-CN"/>
              </w:rPr>
              <w:t>3</w:t>
            </w:r>
          </w:p>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（15m高排气筒），周界：0.2mg/m</w:t>
            </w:r>
            <w:r>
              <w:rPr>
                <w:rFonts w:hint="default" w:ascii="Times New Roman" w:hAnsi="Times New Roman" w:cs="Times New Roman"/>
                <w:b w:val="0"/>
                <w:bCs w:val="0"/>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restart"/>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噪声</w:t>
            </w:r>
          </w:p>
        </w:tc>
        <w:tc>
          <w:tcPr>
            <w:tcW w:w="3607" w:type="dxa"/>
            <w:gridSpan w:val="2"/>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《工业企业厂界环境噪声排放标准》（GB12348-2008）2类</w:t>
            </w:r>
          </w:p>
        </w:tc>
        <w:tc>
          <w:tcPr>
            <w:tcW w:w="3826" w:type="dxa"/>
            <w:gridSpan w:val="2"/>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昼间60dB（A）夜间50dB（A）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089" w:type="dxa"/>
            <w:vMerge w:val="continue"/>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《工业企业厂界环境噪声排放标准》（GB12348-2008）4a类</w:t>
            </w:r>
          </w:p>
        </w:tc>
        <w:tc>
          <w:tcPr>
            <w:tcW w:w="3826" w:type="dxa"/>
            <w:gridSpan w:val="2"/>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昼间70dB（A）夜间55dB（A）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固废</w:t>
            </w:r>
          </w:p>
        </w:tc>
        <w:tc>
          <w:tcPr>
            <w:tcW w:w="7433" w:type="dxa"/>
            <w:gridSpan w:val="4"/>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《一般工业固体废物贮存和填埋污染控制标准（GB 18599-2020）》</w:t>
            </w:r>
            <w:r>
              <w:rPr>
                <w:rFonts w:hint="default" w:ascii="Times New Roman" w:hAnsi="Times New Roman" w:cs="Times New Roman"/>
                <w:b w:val="0"/>
                <w:bCs w:val="0"/>
                <w:color w:val="auto"/>
                <w:sz w:val="21"/>
                <w:szCs w:val="21"/>
                <w:vertAlign w:val="baseline"/>
                <w:lang w:val="en-US" w:eastAsia="zh-CN"/>
              </w:rPr>
              <w:br w:type="textWrapping"/>
            </w:r>
            <w:r>
              <w:rPr>
                <w:rFonts w:hint="default" w:ascii="Times New Roman" w:hAnsi="Times New Roman" w:cs="Times New Roman"/>
                <w:b w:val="0"/>
                <w:bCs w:val="0"/>
                <w:color w:val="auto"/>
                <w:sz w:val="21"/>
                <w:szCs w:val="21"/>
                <w:vertAlign w:val="baseline"/>
                <w:lang w:val="en-US" w:eastAsia="zh-CN"/>
              </w:rPr>
              <w:t>《危险废物贮存污染控制标准》（GB 18597-2001）及其修改单</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3.1.6.3产排污环节分析</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根据对本项目生产工艺过程的分析，项目工艺产生的污染因素及治理措施见表3-7。</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表3-7    项目污染物产生情况及采取治理措施</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255"/>
        <w:gridCol w:w="2210"/>
        <w:gridCol w:w="1695"/>
        <w:gridCol w:w="27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项目</w:t>
            </w:r>
          </w:p>
        </w:tc>
        <w:tc>
          <w:tcPr>
            <w:tcW w:w="12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车间</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污染源</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主要污染因子</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现状治理措施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w:t>
            </w:r>
          </w:p>
        </w:tc>
        <w:tc>
          <w:tcPr>
            <w:tcW w:w="12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电镀车间</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脱脂后清洗废水、酸洗废水、酸洗后水洗废水</w:t>
            </w:r>
          </w:p>
        </w:tc>
        <w:tc>
          <w:tcPr>
            <w:tcW w:w="169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PH、SS、COD、总磷、石油类</w:t>
            </w:r>
          </w:p>
        </w:tc>
        <w:tc>
          <w:tcPr>
            <w:tcW w:w="2723"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进入厂区1#废水处理站处理后回用于水洗工序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地面冲洗废水</w:t>
            </w: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272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电镀后清洗废水、漂白废水、漂白后水洗废水、一次中和废水、一次中和后水洗废水、钝化废水、钝化后水洗废水、二次中和废水、二次中和后水洗废水</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PH、SS、COD、总磷、总镍</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含镍废水经收集后进入厂区内2#含镍废水处理站进行处理后回用于电镀池补水及后续清洗用水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生产、办公区</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员工的生活污水</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yellow"/>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COD、氨氮、总磷、总氮</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生活污水汇入市政污水管网，排入新乡市小尚庄污水处理厂进一步处理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废气</w:t>
            </w:r>
          </w:p>
        </w:tc>
        <w:tc>
          <w:tcPr>
            <w:tcW w:w="12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电镀车间</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酸洗池、钝化池</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硫酸雾</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设置酸雾吸收塔（3套）吸收处理后经15m高排气筒排放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食堂</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油烟</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油烟</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油烟净化器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锅炉房</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天然气燃烧尾气</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颗粒物、SO</w:t>
            </w:r>
            <w:r>
              <w:rPr>
                <w:rFonts w:hint="default" w:ascii="Times New Roman" w:hAnsi="Times New Roman" w:eastAsia="宋体" w:cs="Times New Roman"/>
                <w:b w:val="0"/>
                <w:bCs w:val="0"/>
                <w:color w:val="auto"/>
                <w:sz w:val="21"/>
                <w:szCs w:val="21"/>
                <w:highlight w:val="none"/>
                <w:vertAlign w:val="subscript"/>
                <w:lang w:val="en-US" w:eastAsia="zh-CN"/>
              </w:rPr>
              <w:t>2</w:t>
            </w:r>
            <w:r>
              <w:rPr>
                <w:rFonts w:hint="default" w:ascii="Times New Roman" w:hAnsi="Times New Roman" w:eastAsia="宋体" w:cs="Times New Roman"/>
                <w:b w:val="0"/>
                <w:bCs w:val="0"/>
                <w:color w:val="auto"/>
                <w:sz w:val="21"/>
                <w:szCs w:val="21"/>
                <w:highlight w:val="none"/>
                <w:vertAlign w:val="baseline"/>
                <w:lang w:val="en-US" w:eastAsia="zh-CN"/>
              </w:rPr>
              <w:t>、NOx</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低氮燃烧+烟气回流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噪声</w:t>
            </w:r>
          </w:p>
        </w:tc>
        <w:tc>
          <w:tcPr>
            <w:tcW w:w="12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生产区</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各类生产设备</w:t>
            </w:r>
          </w:p>
        </w:tc>
        <w:tc>
          <w:tcPr>
            <w:tcW w:w="169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机械噪声</w:t>
            </w:r>
          </w:p>
        </w:tc>
        <w:tc>
          <w:tcPr>
            <w:tcW w:w="2723"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机械减振、厂房隔声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污水处理站</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各类提升泵</w:t>
            </w: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72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固体废物</w:t>
            </w:r>
          </w:p>
        </w:tc>
        <w:tc>
          <w:tcPr>
            <w:tcW w:w="12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职工生活办公</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生活垃圾</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生活垃圾</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环卫部门收集后处理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冲制车间</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冲制工序</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边角料</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在厂区设置一般固废暂存间收集后外售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机械润滑</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废乳化液、废油桶</w:t>
            </w:r>
          </w:p>
        </w:tc>
        <w:tc>
          <w:tcPr>
            <w:tcW w:w="2723"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在厂区分类收集，设置危废暂存间暂存，定期交由有资质的单位回收处理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电镀车间</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废脱脂液</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石油类、磷酸盐</w:t>
            </w:r>
          </w:p>
        </w:tc>
        <w:tc>
          <w:tcPr>
            <w:tcW w:w="272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废过滤棉</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含镍废渣</w:t>
            </w:r>
          </w:p>
        </w:tc>
        <w:tc>
          <w:tcPr>
            <w:tcW w:w="272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电镀废水处理设施</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废反渗透膜</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总镍</w:t>
            </w:r>
          </w:p>
        </w:tc>
        <w:tc>
          <w:tcPr>
            <w:tcW w:w="272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废离子交换材料</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总镍</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由厂家定期反洗复原，再生利用；无法再生时，定期交由具有危废处理资质的单位处理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污水处理站</w:t>
            </w:r>
          </w:p>
        </w:tc>
        <w:tc>
          <w:tcPr>
            <w:tcW w:w="22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污泥</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总镍</w:t>
            </w:r>
          </w:p>
        </w:tc>
        <w:tc>
          <w:tcPr>
            <w:tcW w:w="272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设置危废暂存间暂存，定期交由有资质的单位回收处理</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3.1.6.4 污染物排放情况及治理措施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（1）废气产生排放情况及治理措施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本项目现状废气为酸洗工序和钝化工序产生的</w:t>
      </w:r>
      <w:r>
        <w:rPr>
          <w:rFonts w:hint="eastAsia" w:ascii="Times New Roman" w:hAnsi="Times New Roman" w:cs="Times New Roman"/>
          <w:b w:val="0"/>
          <w:bCs w:val="0"/>
          <w:color w:val="auto"/>
          <w:sz w:val="24"/>
          <w:szCs w:val="24"/>
          <w:lang w:val="en-US" w:eastAsia="zh-CN"/>
        </w:rPr>
        <w:t>氯化氢、</w:t>
      </w:r>
      <w:r>
        <w:rPr>
          <w:rFonts w:hint="default" w:ascii="Times New Roman" w:hAnsi="Times New Roman" w:cs="Times New Roman"/>
          <w:b w:val="0"/>
          <w:bCs w:val="0"/>
          <w:color w:val="auto"/>
          <w:sz w:val="24"/>
          <w:szCs w:val="24"/>
          <w:lang w:val="en-US" w:eastAsia="zh-CN"/>
        </w:rPr>
        <w:t>硫酸雾、食堂产生的油烟和锅炉燃烧产生的燃烧尾气。酸雾原清改时期未识别，于2017年10月补充了废气治理措施，项目废气污染物采取的处理措施如下：</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1）在中和池、电镀池上方加装酸雾集气装置收集产生的酸雾气体，集气管道采用耐腐蚀的材质，废气收集后通入酸雾吸收塔进行吸收处理，吸收液采用NaOH的稀溶液，经酸雾吸收塔吸收后由15m高的排气筒排放。</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2）食堂配备油烟净化器吸收处理运营过程中产生的油烟，经过屋顶的排气筒排放。</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3）锅炉采用“低氮燃烧+烟气循环”技术，燃烧产生的尾气经过屋顶的排气筒排放。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河南省格瑞德环境检测有限公司于2021年9月9日对项目厂区废气排放情况进行了监测，监测数据如下表所示：</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表3-8  项目厂区酸雾排放情况一览表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861"/>
        <w:gridCol w:w="2141"/>
        <w:gridCol w:w="1117"/>
        <w:gridCol w:w="1117"/>
        <w:gridCol w:w="1117"/>
        <w:gridCol w:w="111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采样位置</w:t>
            </w:r>
          </w:p>
        </w:tc>
        <w:tc>
          <w:tcPr>
            <w:tcW w:w="3002" w:type="dxa"/>
            <w:gridSpan w:val="2"/>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检测项目</w:t>
            </w:r>
          </w:p>
        </w:tc>
        <w:tc>
          <w:tcPr>
            <w:tcW w:w="3351"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监测结果</w:t>
            </w:r>
          </w:p>
        </w:tc>
        <w:tc>
          <w:tcPr>
            <w:tcW w:w="1118"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检测均值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002"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351"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2021年9月9日</w:t>
            </w:r>
          </w:p>
        </w:tc>
        <w:tc>
          <w:tcPr>
            <w:tcW w:w="1118"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002"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第一次</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第二次</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第三次</w:t>
            </w:r>
          </w:p>
        </w:tc>
        <w:tc>
          <w:tcPr>
            <w:tcW w:w="1118"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1#吸收塔废气排放口</w:t>
            </w: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烟气参数</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排气筒高度（m）</w:t>
            </w:r>
          </w:p>
        </w:tc>
        <w:tc>
          <w:tcPr>
            <w:tcW w:w="4469"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大气压（kPa）</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99.46</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99.45</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99.44</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99.45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烟气温度（℃）</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25</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烟气流速（m/s）</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7.4</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标干废气流量（m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4.51×10</w:t>
            </w:r>
            <w:r>
              <w:rPr>
                <w:rFonts w:hint="default" w:ascii="Times New Roman" w:hAnsi="Times New Roman" w:eastAsia="宋体" w:cs="Times New Roman"/>
                <w:b w:val="0"/>
                <w:bCs w:val="0"/>
                <w:color w:val="auto"/>
                <w:sz w:val="21"/>
                <w:szCs w:val="21"/>
                <w:vertAlign w:val="superscript"/>
                <w:lang w:val="en-US" w:eastAsia="zh-CN"/>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4.54×10</w:t>
            </w:r>
            <w:r>
              <w:rPr>
                <w:rFonts w:hint="default" w:ascii="Times New Roman" w:hAnsi="Times New Roman" w:eastAsia="宋体" w:cs="Times New Roman"/>
                <w:b w:val="0"/>
                <w:bCs w:val="0"/>
                <w:color w:val="auto"/>
                <w:sz w:val="21"/>
                <w:szCs w:val="21"/>
                <w:vertAlign w:val="superscript"/>
                <w:lang w:val="en-US" w:eastAsia="zh-CN"/>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4.64×10</w:t>
            </w:r>
            <w:r>
              <w:rPr>
                <w:rFonts w:hint="default" w:ascii="Times New Roman" w:hAnsi="Times New Roman" w:eastAsia="宋体" w:cs="Times New Roman"/>
                <w:b w:val="0"/>
                <w:bCs w:val="0"/>
                <w:color w:val="auto"/>
                <w:sz w:val="21"/>
                <w:szCs w:val="21"/>
                <w:vertAlign w:val="superscript"/>
                <w:lang w:val="en-US" w:eastAsia="zh-CN"/>
              </w:rPr>
              <w:t>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4.56×10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氯化氢</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4.39</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4.33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4.15</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4.29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1.98×10</w:t>
            </w:r>
            <w:r>
              <w:rPr>
                <w:rFonts w:hint="default" w:ascii="Times New Roman" w:hAnsi="Times New Roman" w:eastAsia="宋体" w:cs="Times New Roman"/>
                <w:b w:val="0"/>
                <w:bCs w:val="0"/>
                <w:color w:val="auto"/>
                <w:kern w:val="2"/>
                <w:sz w:val="21"/>
                <w:szCs w:val="21"/>
                <w:vertAlign w:val="superscript"/>
                <w:lang w:val="en-US" w:eastAsia="zh-CN" w:bidi="ar-SA"/>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1.97×10</w:t>
            </w:r>
            <w:r>
              <w:rPr>
                <w:rFonts w:hint="default" w:ascii="Times New Roman" w:hAnsi="Times New Roman" w:eastAsia="宋体" w:cs="Times New Roman"/>
                <w:b w:val="0"/>
                <w:bCs w:val="0"/>
                <w:color w:val="auto"/>
                <w:sz w:val="21"/>
                <w:szCs w:val="21"/>
                <w:vertAlign w:val="superscript"/>
                <w:lang w:val="en-US" w:eastAsia="zh-CN"/>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1.93×10</w:t>
            </w:r>
            <w:r>
              <w:rPr>
                <w:rFonts w:hint="default" w:ascii="Times New Roman" w:hAnsi="Times New Roman" w:eastAsia="宋体" w:cs="Times New Roman"/>
                <w:b w:val="0"/>
                <w:bCs w:val="0"/>
                <w:color w:val="auto"/>
                <w:sz w:val="21"/>
                <w:szCs w:val="21"/>
                <w:vertAlign w:val="superscript"/>
                <w:lang w:val="en-US" w:eastAsia="zh-CN"/>
              </w:rPr>
              <w:t>-2</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1.96×10</w:t>
            </w:r>
            <w:r>
              <w:rPr>
                <w:rFonts w:hint="default" w:ascii="Times New Roman" w:hAnsi="Times New Roman" w:eastAsia="宋体" w:cs="Times New Roman"/>
                <w:b w:val="0"/>
                <w:bCs w:val="0"/>
                <w:color w:val="auto"/>
                <w:sz w:val="21"/>
                <w:szCs w:val="21"/>
                <w:vertAlign w:val="superscript"/>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硫酸雾</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1.84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1.81</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8.30×10</w:t>
            </w:r>
            <w:r>
              <w:rPr>
                <w:rFonts w:hint="default" w:ascii="Times New Roman" w:hAnsi="Times New Roman" w:eastAsia="宋体" w:cs="Times New Roman"/>
                <w:b w:val="0"/>
                <w:bCs w:val="0"/>
                <w:color w:val="auto"/>
                <w:kern w:val="2"/>
                <w:sz w:val="21"/>
                <w:szCs w:val="21"/>
                <w:vertAlign w:val="superscript"/>
                <w:lang w:val="en-US" w:eastAsia="zh-CN" w:bidi="ar-SA"/>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7.85×10</w:t>
            </w:r>
            <w:r>
              <w:rPr>
                <w:rFonts w:hint="default" w:ascii="Times New Roman" w:hAnsi="Times New Roman" w:eastAsia="宋体" w:cs="Times New Roman"/>
                <w:b w:val="0"/>
                <w:bCs w:val="0"/>
                <w:color w:val="auto"/>
                <w:sz w:val="21"/>
                <w:szCs w:val="21"/>
                <w:vertAlign w:val="superscript"/>
                <w:lang w:val="en-US" w:eastAsia="zh-CN"/>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8.40×10</w:t>
            </w:r>
            <w:r>
              <w:rPr>
                <w:rFonts w:hint="default" w:ascii="Times New Roman" w:hAnsi="Times New Roman" w:eastAsia="宋体" w:cs="Times New Roman"/>
                <w:b w:val="0"/>
                <w:bCs w:val="0"/>
                <w:color w:val="auto"/>
                <w:sz w:val="21"/>
                <w:szCs w:val="21"/>
                <w:vertAlign w:val="superscript"/>
                <w:lang w:val="en-US" w:eastAsia="zh-CN"/>
              </w:rPr>
              <w:t>-3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8.16×10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2#吸收塔废气排放口</w:t>
            </w: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烟气参数</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排气筒高度（m）</w:t>
            </w:r>
          </w:p>
        </w:tc>
        <w:tc>
          <w:tcPr>
            <w:tcW w:w="4469"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大气压（kPa）</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99.55</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99.54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99.53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99.54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烟气温度（℃）</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28</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29</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28</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烟气流速（m/s）</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19.7</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19.9</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20.1</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19.9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标干废气流量（m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1.21×10</w:t>
            </w:r>
            <w:r>
              <w:rPr>
                <w:rFonts w:hint="default" w:ascii="Times New Roman" w:hAnsi="Times New Roman" w:eastAsia="宋体" w:cs="Times New Roman"/>
                <w:b w:val="0"/>
                <w:bCs w:val="0"/>
                <w:color w:val="auto"/>
                <w:kern w:val="2"/>
                <w:sz w:val="21"/>
                <w:szCs w:val="21"/>
                <w:vertAlign w:val="superscript"/>
                <w:lang w:val="en-US" w:eastAsia="zh-CN" w:bidi="ar-SA"/>
              </w:rPr>
              <w:t>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1.22</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1.23</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4</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1.22</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氯化氢</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3.62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3.82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3.53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4.38×10</w:t>
            </w:r>
            <w:r>
              <w:rPr>
                <w:rFonts w:hint="default" w:ascii="Times New Roman" w:hAnsi="Times New Roman" w:eastAsia="宋体" w:cs="Times New Roman"/>
                <w:b w:val="0"/>
                <w:bCs w:val="0"/>
                <w:color w:val="auto"/>
                <w:kern w:val="2"/>
                <w:sz w:val="21"/>
                <w:szCs w:val="21"/>
                <w:vertAlign w:val="superscript"/>
                <w:lang w:val="en-US" w:eastAsia="zh-CN" w:bidi="ar-SA"/>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4.66</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4.34</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4.47</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硫酸雾</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1.26</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1.38</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1.48×10</w:t>
            </w:r>
            <w:r>
              <w:rPr>
                <w:rFonts w:hint="default" w:ascii="Times New Roman" w:hAnsi="Times New Roman" w:eastAsia="宋体" w:cs="Times New Roman"/>
                <w:b w:val="0"/>
                <w:bCs w:val="0"/>
                <w:color w:val="auto"/>
                <w:kern w:val="2"/>
                <w:sz w:val="21"/>
                <w:szCs w:val="21"/>
                <w:vertAlign w:val="superscript"/>
                <w:lang w:val="en-US" w:eastAsia="zh-CN" w:bidi="ar-SA"/>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1.54</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1.70</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1.57</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3#吸收塔废气排放口</w:t>
            </w: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烟气参数</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排气筒高度（m）</w:t>
            </w:r>
          </w:p>
        </w:tc>
        <w:tc>
          <w:tcPr>
            <w:tcW w:w="4469"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大气压（kPa）</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99.51</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99.50</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99.49</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99.50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烟气温度（℃）</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23.3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烟气流速（m/s）</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5.6</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5.7</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5.6</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标干废气流量（m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3.50×10</w:t>
            </w:r>
            <w:r>
              <w:rPr>
                <w:rFonts w:hint="default" w:ascii="Times New Roman" w:hAnsi="Times New Roman" w:eastAsia="宋体" w:cs="Times New Roman"/>
                <w:b w:val="0"/>
                <w:bCs w:val="0"/>
                <w:color w:val="auto"/>
                <w:kern w:val="2"/>
                <w:sz w:val="21"/>
                <w:szCs w:val="21"/>
                <w:vertAlign w:val="superscript"/>
                <w:lang w:val="en-US" w:eastAsia="zh-CN" w:bidi="ar-SA"/>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3.54</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3.51</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3.52</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氯化氢</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4.24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4.08</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4.20</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4.17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1.48×10</w:t>
            </w:r>
            <w:r>
              <w:rPr>
                <w:rFonts w:hint="default" w:ascii="Times New Roman" w:hAnsi="Times New Roman" w:eastAsia="宋体" w:cs="Times New Roman"/>
                <w:b w:val="0"/>
                <w:bCs w:val="0"/>
                <w:color w:val="auto"/>
                <w:kern w:val="2"/>
                <w:sz w:val="21"/>
                <w:szCs w:val="21"/>
                <w:vertAlign w:val="superscript"/>
                <w:lang w:val="en-US" w:eastAsia="zh-CN" w:bidi="ar-SA"/>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1.44</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1.47</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1.47</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硫酸雾</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1.57</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1.57</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1.54</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5.50×10</w:t>
            </w:r>
            <w:r>
              <w:rPr>
                <w:rFonts w:hint="default" w:ascii="Times New Roman" w:hAnsi="Times New Roman" w:eastAsia="宋体" w:cs="Times New Roman"/>
                <w:b w:val="0"/>
                <w:bCs w:val="0"/>
                <w:color w:val="auto"/>
                <w:kern w:val="2"/>
                <w:sz w:val="21"/>
                <w:szCs w:val="21"/>
                <w:vertAlign w:val="superscript"/>
                <w:lang w:val="en-US" w:eastAsia="zh-CN" w:bidi="ar-SA"/>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5.56</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5.51</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5.49</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由上表可知，项目酸雾吸收塔排放的氯化氢气体和硫酸雾均能满足《大气污染物综合排放标准》（GB16297-1996）表2中相关限值要求，能够达标排放</w:t>
      </w:r>
      <w:r>
        <w:rPr>
          <w:rFonts w:hint="eastAsia" w:ascii="Times New Roman" w:hAnsi="Times New Roman" w:cs="Times New Roman"/>
          <w:b w:val="0"/>
          <w:bCs w:val="0"/>
          <w:color w:val="auto"/>
          <w:sz w:val="24"/>
          <w:szCs w:val="24"/>
          <w:lang w:val="en-US" w:eastAsia="zh-CN"/>
        </w:rPr>
        <w:t>，根据监测数据结果取平均值进行分析，氯化氢的年排放量约为7.84×10</w:t>
      </w:r>
      <w:r>
        <w:rPr>
          <w:rFonts w:hint="eastAsia" w:ascii="Times New Roman" w:hAnsi="Times New Roman" w:cs="Times New Roman"/>
          <w:b w:val="0"/>
          <w:bCs w:val="0"/>
          <w:color w:val="auto"/>
          <w:sz w:val="24"/>
          <w:szCs w:val="24"/>
          <w:vertAlign w:val="superscript"/>
          <w:lang w:val="en-US" w:eastAsia="zh-CN"/>
        </w:rPr>
        <w:t>-2</w:t>
      </w:r>
      <w:r>
        <w:rPr>
          <w:rFonts w:hint="eastAsia" w:ascii="Times New Roman" w:hAnsi="Times New Roman" w:cs="Times New Roman"/>
          <w:b w:val="0"/>
          <w:bCs w:val="0"/>
          <w:color w:val="auto"/>
          <w:sz w:val="24"/>
          <w:szCs w:val="24"/>
          <w:lang w:val="en-US" w:eastAsia="zh-CN"/>
        </w:rPr>
        <w:t>×24×300÷1000=0.564t，硫酸雾的年排放量约为2.86×10</w:t>
      </w:r>
      <w:r>
        <w:rPr>
          <w:rFonts w:hint="eastAsia" w:ascii="Times New Roman" w:hAnsi="Times New Roman" w:cs="Times New Roman"/>
          <w:b w:val="0"/>
          <w:bCs w:val="0"/>
          <w:color w:val="auto"/>
          <w:sz w:val="24"/>
          <w:szCs w:val="24"/>
          <w:vertAlign w:val="superscript"/>
          <w:lang w:val="en-US" w:eastAsia="zh-CN"/>
        </w:rPr>
        <w:t>-2</w:t>
      </w:r>
      <w:r>
        <w:rPr>
          <w:rFonts w:hint="eastAsia" w:ascii="Times New Roman" w:hAnsi="Times New Roman" w:cs="Times New Roman"/>
          <w:b w:val="0"/>
          <w:bCs w:val="0"/>
          <w:color w:val="auto"/>
          <w:sz w:val="24"/>
          <w:szCs w:val="24"/>
          <w:lang w:val="en-US" w:eastAsia="zh-CN"/>
        </w:rPr>
        <w:t>×24×300÷1000=0.206t</w:t>
      </w:r>
      <w:r>
        <w:rPr>
          <w:rFonts w:hint="default" w:ascii="Times New Roman" w:hAnsi="Times New Roman" w:cs="Times New Roman"/>
          <w:b w:val="0"/>
          <w:bCs w:val="0"/>
          <w:color w:val="auto"/>
          <w:sz w:val="24"/>
          <w:szCs w:val="24"/>
          <w:lang w:val="en-US" w:eastAsia="zh-CN"/>
        </w:rPr>
        <w:t>。</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表3-9  项目锅炉废气排放情况一览表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09"/>
        <w:gridCol w:w="991"/>
        <w:gridCol w:w="2464"/>
        <w:gridCol w:w="1286"/>
        <w:gridCol w:w="1286"/>
        <w:gridCol w:w="12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采样位置</w:t>
            </w:r>
          </w:p>
        </w:tc>
        <w:tc>
          <w:tcPr>
            <w:tcW w:w="3455" w:type="dxa"/>
            <w:gridSpan w:val="2"/>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检测项目</w:t>
            </w:r>
          </w:p>
        </w:tc>
        <w:tc>
          <w:tcPr>
            <w:tcW w:w="3858"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监测结果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455"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858"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2021年9月9日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455"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第一次</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第二次</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第三次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锅炉废气排放口</w:t>
            </w:r>
          </w:p>
        </w:tc>
        <w:tc>
          <w:tcPr>
            <w:tcW w:w="99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烟气参数</w:t>
            </w: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大气压（kPa）</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99.59</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99.58</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99.57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烟气温度（℃）</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92.4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92.8</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93.5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烟气流速（m/s）</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7.7</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7.9</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含氧量（%）</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标干废气流量（m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/h）</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2.36×10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2.42×10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2.15×10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颗粒物</w:t>
            </w: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2.1</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折算浓度（mg/m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3.5</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8.26×10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7.26×10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7.10×10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二氧化硫</w:t>
            </w: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折算浓度（mg/m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7.08×10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9.68×10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6.45×10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氮氧化物</w:t>
            </w: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折算浓度（mg/m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2.12×10</w:t>
            </w:r>
            <w:r>
              <w:rPr>
                <w:rFonts w:hint="default" w:ascii="Times New Roman" w:hAnsi="Times New Roman" w:eastAsia="宋体" w:cs="Times New Roman"/>
                <w:b w:val="0"/>
                <w:bCs w:val="0"/>
                <w:color w:val="auto"/>
                <w:sz w:val="21"/>
                <w:szCs w:val="21"/>
                <w:vertAlign w:val="superscript"/>
                <w:lang w:val="en-US" w:eastAsia="zh-CN"/>
              </w:rPr>
              <w:t>-2</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1.94×10</w:t>
            </w:r>
            <w:r>
              <w:rPr>
                <w:rFonts w:hint="default" w:ascii="Times New Roman" w:hAnsi="Times New Roman" w:eastAsia="宋体" w:cs="Times New Roman"/>
                <w:b w:val="0"/>
                <w:bCs w:val="0"/>
                <w:color w:val="auto"/>
                <w:sz w:val="21"/>
                <w:szCs w:val="21"/>
                <w:vertAlign w:val="superscript"/>
                <w:lang w:val="en-US" w:eastAsia="zh-CN"/>
              </w:rPr>
              <w:t>-2</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1.94×10</w:t>
            </w:r>
            <w:r>
              <w:rPr>
                <w:rFonts w:hint="default" w:ascii="Times New Roman" w:hAnsi="Times New Roman" w:eastAsia="宋体" w:cs="Times New Roman"/>
                <w:b w:val="0"/>
                <w:bCs w:val="0"/>
                <w:color w:val="auto"/>
                <w:sz w:val="21"/>
                <w:szCs w:val="21"/>
                <w:vertAlign w:val="superscript"/>
                <w:lang w:val="en-US" w:eastAsia="zh-CN"/>
              </w:rPr>
              <w:t>-2</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由上表可知，项目锅炉尾气中颗粒物、二氧化硫、氮氧化物的排放均能满足《锅炉大气污染物排放标准》（DB41/2089-2021）中相关限值要求，能够达标排放。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（2）废水产生排放情况及治理措施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产生的废水主要为脱脂后清洗废水、酸洗废水、酸洗后水洗废水、电镀后清洗废水、漂白废水、漂白后水洗废水、一次中和废水、一次中和后水洗废水、钝化废水、钝化后水洗废水、二次中和废水、二次中和后水洗废水、地面冲洗废水、职工生活废水。其中脱脂后清洗废水、酸洗废水、酸洗后水洗废水、地面冲洗废水属于不含重金属的生活废水，主要污染物为COD、氨氮、石油类等，经车间内排水管道收集后通入1#废水处理站进行处理，处理后排放至新乡市小尚庄污水处理厂综合处理。电镀后清洗废水、漂白废水、漂白后水洗废水、一次中和废水、一次中和后水洗废水、钝化废水、钝化后水洗废水、二次中和废水、二次中和后水洗废水为含镍废水，经车间内排水管道收集后通入2#废水处理站进行处理，处理后回用于电镀池补水及后续清洗用水，不外排；职工生活废水经厂区内化粪池处理后排入市政污水管网。</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1、1#污水处理站处理工艺</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本项目产生的脱脂后清洗废水、酸洗废水、酸洗后水洗废水、地面冲洗废水进入厂区1#污水处理站进行处理，1#污水处理站采用“</w:t>
      </w:r>
      <w:r>
        <w:rPr>
          <w:rFonts w:hint="default" w:ascii="Times New Roman" w:hAnsi="Times New Roman" w:cs="Times New Roman"/>
          <w:b w:val="0"/>
          <w:bCs w:val="0"/>
          <w:color w:val="auto"/>
          <w:sz w:val="24"/>
          <w:szCs w:val="24"/>
          <w:lang w:val="en-US" w:eastAsia="zh-CN"/>
        </w:rPr>
        <w:t>混凝沉淀+气浮+高效臭氧催化反应</w:t>
      </w:r>
      <w:r>
        <w:rPr>
          <w:rFonts w:hint="default" w:ascii="Times New Roman" w:hAnsi="Times New Roman" w:cs="Times New Roman"/>
          <w:b w:val="0"/>
          <w:bCs w:val="0"/>
          <w:color w:val="auto"/>
          <w:sz w:val="24"/>
          <w:szCs w:val="24"/>
          <w:highlight w:val="none"/>
          <w:lang w:val="en-US" w:eastAsia="zh-CN"/>
        </w:rPr>
        <w:t>”的废水处理工艺。处理规模48t/d。处理工艺流程图示如下：</w:t>
      </w:r>
    </w:p>
    <w:p>
      <w:pPr>
        <w:spacing w:line="360" w:lineRule="auto"/>
        <w:jc w:val="center"/>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pict>
          <v:shape id="_x0000_s1029" o:spid="_x0000_s1029" o:spt="75" type="#_x0000_t75" style="position:absolute;left:0pt;margin-left:-35.25pt;margin-top:3.1pt;height:88.9pt;width:485.7pt;z-index:251681792;mso-width-relative:page;mso-height-relative:page;" o:ole="t" filled="f" o:preferrelative="t" stroked="f" coordsize="21600,21600">
            <v:path/>
            <v:fill on="f" focussize="0,0"/>
            <v:stroke on="f"/>
            <v:imagedata r:id="rId40" o:title=""/>
            <o:lock v:ext="edit" aspectratio="t"/>
          </v:shape>
          <o:OLEObject Type="Embed" ProgID="Visio.Drawing.11" ShapeID="_x0000_s1029" DrawAspect="Content" ObjectID="_1468075738" r:id="rId39">
            <o:LockedField>false</o:LockedField>
          </o:OLEObject>
        </w:pict>
      </w:r>
    </w:p>
    <w:p>
      <w:pPr>
        <w:spacing w:line="360" w:lineRule="auto"/>
        <w:jc w:val="center"/>
        <w:rPr>
          <w:rFonts w:hint="default" w:ascii="Times New Roman" w:hAnsi="Times New Roman" w:cs="Times New Roman" w:eastAsiaTheme="minorEastAsia"/>
          <w:lang w:eastAsia="zh-CN"/>
        </w:rPr>
      </w:pPr>
    </w:p>
    <w:p>
      <w:pPr>
        <w:spacing w:line="360" w:lineRule="auto"/>
        <w:jc w:val="center"/>
        <w:rPr>
          <w:rFonts w:hint="default" w:ascii="Times New Roman" w:hAnsi="Times New Roman" w:cs="Times New Roman"/>
          <w:b w:val="0"/>
          <w:bCs w:val="0"/>
          <w:color w:val="auto"/>
          <w:sz w:val="24"/>
          <w:szCs w:val="24"/>
          <w:highlight w:val="none"/>
          <w:lang w:val="en-US" w:eastAsia="zh-CN"/>
        </w:rPr>
      </w:pPr>
    </w:p>
    <w:p>
      <w:pPr>
        <w:spacing w:line="360" w:lineRule="auto"/>
        <w:jc w:val="center"/>
        <w:rPr>
          <w:rFonts w:hint="default" w:ascii="Times New Roman" w:hAnsi="Times New Roman" w:cs="Times New Roman"/>
          <w:b w:val="0"/>
          <w:bCs w:val="0"/>
          <w:color w:val="auto"/>
          <w:sz w:val="24"/>
          <w:szCs w:val="24"/>
          <w:highlight w:val="none"/>
          <w:lang w:val="en-US" w:eastAsia="zh-CN"/>
        </w:rPr>
      </w:pPr>
    </w:p>
    <w:p>
      <w:pPr>
        <w:spacing w:line="360" w:lineRule="auto"/>
        <w:jc w:val="center"/>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图3-6  1#综合废水处理系统工艺流程图</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2、2#污水处理站处理工艺</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项目含镍废水经收集后进入厂区2#污水处理站进行处理，2#污水处理站采用</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高效气浮+</w:t>
      </w:r>
      <w:r>
        <w:rPr>
          <w:rFonts w:hint="eastAsia" w:ascii="Times New Roman" w:hAnsi="Times New Roman" w:cs="Times New Roman"/>
          <w:b w:val="0"/>
          <w:bCs w:val="0"/>
          <w:color w:val="auto"/>
          <w:sz w:val="24"/>
          <w:szCs w:val="24"/>
          <w:highlight w:val="none"/>
          <w:lang w:val="en-US" w:eastAsia="zh-CN"/>
        </w:rPr>
        <w:t>混凝</w:t>
      </w:r>
      <w:r>
        <w:rPr>
          <w:rFonts w:hint="default" w:ascii="Times New Roman" w:hAnsi="Times New Roman" w:cs="Times New Roman"/>
          <w:b w:val="0"/>
          <w:bCs w:val="0"/>
          <w:color w:val="auto"/>
          <w:sz w:val="24"/>
          <w:szCs w:val="24"/>
          <w:highlight w:val="none"/>
          <w:lang w:val="en-US" w:eastAsia="zh-CN"/>
        </w:rPr>
        <w:t>沉淀+</w:t>
      </w:r>
      <w:r>
        <w:rPr>
          <w:rFonts w:hint="eastAsia" w:ascii="Times New Roman" w:hAnsi="Times New Roman" w:cs="Times New Roman"/>
          <w:b w:val="0"/>
          <w:bCs w:val="0"/>
          <w:color w:val="auto"/>
          <w:sz w:val="24"/>
          <w:szCs w:val="24"/>
          <w:highlight w:val="none"/>
          <w:lang w:val="en-US" w:eastAsia="zh-CN"/>
        </w:rPr>
        <w:t>板框压滤+</w:t>
      </w:r>
      <w:r>
        <w:rPr>
          <w:rFonts w:hint="default" w:ascii="Times New Roman" w:hAnsi="Times New Roman" w:cs="Times New Roman"/>
          <w:b w:val="0"/>
          <w:bCs w:val="0"/>
          <w:color w:val="auto"/>
          <w:sz w:val="24"/>
          <w:szCs w:val="24"/>
          <w:highlight w:val="none"/>
          <w:lang w:val="en-US" w:eastAsia="zh-CN"/>
        </w:rPr>
        <w:t>二次反渗透</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的废水处理工艺。处理规模48t/d。处理工艺流程图示如下：</w:t>
      </w:r>
    </w:p>
    <w:p>
      <w:pPr>
        <w:spacing w:line="360" w:lineRule="auto"/>
        <w:jc w:val="center"/>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eastAsiaTheme="minorEastAsia"/>
          <w:lang w:eastAsia="zh-CN"/>
        </w:rPr>
        <w:object>
          <v:shape id="_x0000_i1038" o:spt="75" type="#_x0000_t75" style="height:77.65pt;width:440.3pt;" o:ole="t" filled="f" o:preferrelative="t" stroked="f" coordsize="21600,21600">
            <v:path/>
            <v:fill on="f" focussize="0,0"/>
            <v:stroke on="f"/>
            <v:imagedata r:id="rId42" o:title=""/>
            <o:lock v:ext="edit" aspectratio="t"/>
            <w10:wrap type="none"/>
            <w10:anchorlock/>
          </v:shape>
          <o:OLEObject Type="Embed" ProgID="Visio.Drawing.11" ShapeID="_x0000_i1038" DrawAspect="Content" ObjectID="_1468075739" r:id="rId41">
            <o:LockedField>false</o:LockedField>
          </o:OLEObject>
        </w:object>
      </w:r>
      <w:r>
        <w:rPr>
          <w:rFonts w:hint="default" w:ascii="Times New Roman" w:hAnsi="Times New Roman" w:cs="Times New Roman"/>
          <w:b w:val="0"/>
          <w:bCs w:val="0"/>
          <w:color w:val="auto"/>
          <w:sz w:val="24"/>
          <w:szCs w:val="24"/>
          <w:highlight w:val="none"/>
          <w:lang w:val="en-US" w:eastAsia="zh-CN"/>
        </w:rPr>
        <w:t>图3-7  2#含镍废水处理系统工艺流程图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河南省格瑞德环境检测有限公司于2021年9月9日对项目厂区废水总排口进行了监测，监测数据如下表所示：</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表3-10  项目厂区废水总排口废水水质情况一览表  单位：mg/L</w:t>
      </w:r>
    </w:p>
    <w:tbl>
      <w:tblPr>
        <w:tblStyle w:val="2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775"/>
        <w:gridCol w:w="867"/>
        <w:gridCol w:w="919"/>
        <w:gridCol w:w="841"/>
        <w:gridCol w:w="864"/>
        <w:gridCol w:w="808"/>
        <w:gridCol w:w="750"/>
        <w:gridCol w:w="75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single" w:color="auto" w:sz="4" w:space="0"/>
            </w:tcBorders>
            <w:vAlign w:val="center"/>
          </w:tcPr>
          <w:p>
            <w:pPr>
              <w:spacing w:line="240" w:lineRule="auto"/>
              <w:jc w:val="righ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 xml:space="preserve"> 检测项目</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采样时间、地点</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PH</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COD</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SS</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vertAlign w:val="baseline"/>
                <w:lang w:val="en-US" w:eastAsia="zh-CN"/>
              </w:rPr>
              <w:t>-N</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TP</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TN</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石油类</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总镍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2021年9月9日</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废水总排口第一次</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7.8</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55</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25</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6.11</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0.44</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11.7</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1.64</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2021年9月9日</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废水总排口第二次</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7.7</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55</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29</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6.35</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0.47</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12.5</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1.71</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2021年9月9日</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废水总排口第三次</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7.8</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59</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30</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6.45</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0.41</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12.8</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1.60</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《电镀污染物排放标准》（GB21900-2008）表2</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6-9</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50</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15</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新乡市小尚庄污水处理厂收水水质标准</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350</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200</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35</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8517" w:type="dxa"/>
            <w:gridSpan w:val="9"/>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注：根据《污水检测技术规范》（HJ91.1-2019）当检测结果低于方法检出限时，报使用的“方法检出限”，并加标志“L”表示</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由上表可知该项目废水出水均能够满足《电镀污染物排放标准》（GB21900-2008）中企业废水总排口污染物排放限值要求，同时满足新乡市小尚庄污水处理厂收水水质标准要求。</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（3）噪声产生排放情况及治理措施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本项目噪声源主要是</w:t>
      </w:r>
      <w:r>
        <w:rPr>
          <w:rFonts w:hint="default" w:ascii="Times New Roman" w:hAnsi="Times New Roman" w:cs="Times New Roman"/>
          <w:b w:val="0"/>
          <w:bCs w:val="0"/>
          <w:color w:val="auto"/>
          <w:sz w:val="24"/>
          <w:szCs w:val="24"/>
          <w:highlight w:val="none"/>
          <w:lang w:val="en-US" w:eastAsia="zh-CN"/>
        </w:rPr>
        <w:t>机械设备运行噪声</w:t>
      </w:r>
      <w:r>
        <w:rPr>
          <w:rFonts w:hint="default" w:ascii="Times New Roman" w:hAnsi="Times New Roman" w:cs="Times New Roman"/>
          <w:b w:val="0"/>
          <w:bCs w:val="0"/>
          <w:color w:val="auto"/>
          <w:sz w:val="24"/>
          <w:szCs w:val="24"/>
          <w:lang w:val="en-US" w:eastAsia="zh-CN"/>
        </w:rPr>
        <w:t>和污水处理站水泵噪声，经降噪措施后，企业噪声对周围环境影响较小。降噪措施如下：</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1）对固定设备安装过程中采用了减振基础；</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2）合理安排设备布局，充分利用建筑隔声等；</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河南省格瑞德环境检测有限公司于2021年9月9日对项目厂界噪声进行了监测，监测数据如下表所示：</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表3-11  项目厂界噪声监测结果一览表  </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09"/>
        <w:gridCol w:w="2550"/>
        <w:gridCol w:w="296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检测日期</w:t>
            </w:r>
          </w:p>
        </w:tc>
        <w:tc>
          <w:tcPr>
            <w:tcW w:w="255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测点位置</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昼间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0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5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Leq[dB(A)]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2021年9月9日</w:t>
            </w:r>
          </w:p>
        </w:tc>
        <w:tc>
          <w:tcPr>
            <w:tcW w:w="25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东厂界外1m</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54.9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5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南厂界外1m</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55.6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5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北厂界外1m</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53.8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《工业企业厂界环境噪声排放标准》（GB12348-2008）2类</w:t>
            </w:r>
          </w:p>
        </w:tc>
        <w:tc>
          <w:tcPr>
            <w:tcW w:w="25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昼间</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3"/>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注：项目西厂界为共用墙，无法监测。</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由上表可知，项目南、北厂界监测点位昼间噪声监测值能够满足《工业企业厂界环境噪声排放标准》（GB12348-2008）2 类标准限值要求。</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（4）固体产生排放情况及治理措施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项目固废产生及处置、处理情况见下表。</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表3-11  固体废物环保措施一览表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9"/>
        <w:gridCol w:w="2377"/>
        <w:gridCol w:w="1049"/>
        <w:gridCol w:w="1179"/>
        <w:gridCol w:w="285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237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污染物名称</w:t>
            </w:r>
          </w:p>
        </w:tc>
        <w:tc>
          <w:tcPr>
            <w:tcW w:w="10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产生量</w:t>
            </w:r>
          </w:p>
        </w:tc>
        <w:tc>
          <w:tcPr>
            <w:tcW w:w="117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类别</w:t>
            </w:r>
          </w:p>
        </w:tc>
        <w:tc>
          <w:tcPr>
            <w:tcW w:w="285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处置措施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w:t>
            </w:r>
          </w:p>
        </w:tc>
        <w:tc>
          <w:tcPr>
            <w:tcW w:w="237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冲制边角料</w:t>
            </w:r>
          </w:p>
        </w:tc>
        <w:tc>
          <w:tcPr>
            <w:tcW w:w="10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8</w:t>
            </w:r>
            <w:r>
              <w:rPr>
                <w:rFonts w:hint="default" w:ascii="Times New Roman" w:hAnsi="Times New Roman" w:eastAsia="宋体" w:cs="Times New Roman"/>
                <w:b w:val="0"/>
                <w:bCs w:val="0"/>
                <w:color w:val="auto"/>
                <w:sz w:val="21"/>
                <w:szCs w:val="21"/>
                <w:vertAlign w:val="baseline"/>
                <w:lang w:val="en-US" w:eastAsia="zh-CN"/>
              </w:rPr>
              <w:t>0t/a</w:t>
            </w:r>
          </w:p>
        </w:tc>
        <w:tc>
          <w:tcPr>
            <w:tcW w:w="117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一般固废</w:t>
            </w:r>
          </w:p>
        </w:tc>
        <w:tc>
          <w:tcPr>
            <w:tcW w:w="285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在厂区设置一般固废暂存间收集，外售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w:t>
            </w:r>
          </w:p>
        </w:tc>
        <w:tc>
          <w:tcPr>
            <w:tcW w:w="237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废乳化液、废油桶</w:t>
            </w:r>
          </w:p>
        </w:tc>
        <w:tc>
          <w:tcPr>
            <w:tcW w:w="10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0.3t/a</w:t>
            </w:r>
          </w:p>
        </w:tc>
        <w:tc>
          <w:tcPr>
            <w:tcW w:w="117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危险废物</w:t>
            </w:r>
          </w:p>
        </w:tc>
        <w:tc>
          <w:tcPr>
            <w:tcW w:w="2858"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在厂区设置专用容器分类收集，暂存于危废暂存间内，委托有资质的单位回收处理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w:t>
            </w:r>
          </w:p>
        </w:tc>
        <w:tc>
          <w:tcPr>
            <w:tcW w:w="237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废脱脂液</w:t>
            </w:r>
          </w:p>
        </w:tc>
        <w:tc>
          <w:tcPr>
            <w:tcW w:w="10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0.2t/a</w:t>
            </w:r>
          </w:p>
        </w:tc>
        <w:tc>
          <w:tcPr>
            <w:tcW w:w="11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858"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4</w:t>
            </w:r>
          </w:p>
        </w:tc>
        <w:tc>
          <w:tcPr>
            <w:tcW w:w="237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电镀废渣</w:t>
            </w:r>
          </w:p>
        </w:tc>
        <w:tc>
          <w:tcPr>
            <w:tcW w:w="10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0.3t/a</w:t>
            </w:r>
          </w:p>
        </w:tc>
        <w:tc>
          <w:tcPr>
            <w:tcW w:w="11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858"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w:t>
            </w:r>
          </w:p>
        </w:tc>
        <w:tc>
          <w:tcPr>
            <w:tcW w:w="2377"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废反渗透膜</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0.06t/a</w:t>
            </w:r>
          </w:p>
        </w:tc>
        <w:tc>
          <w:tcPr>
            <w:tcW w:w="117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858"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w:t>
            </w:r>
          </w:p>
        </w:tc>
        <w:tc>
          <w:tcPr>
            <w:tcW w:w="2377"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废离子交换材料</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0.25t/a</w:t>
            </w:r>
          </w:p>
        </w:tc>
        <w:tc>
          <w:tcPr>
            <w:tcW w:w="117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858"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7</w:t>
            </w:r>
          </w:p>
        </w:tc>
        <w:tc>
          <w:tcPr>
            <w:tcW w:w="2377"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污泥</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0.3t/a</w:t>
            </w:r>
          </w:p>
        </w:tc>
        <w:tc>
          <w:tcPr>
            <w:tcW w:w="117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858"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8</w:t>
            </w:r>
          </w:p>
        </w:tc>
        <w:tc>
          <w:tcPr>
            <w:tcW w:w="2377"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生活垃圾</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4.8t/a</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环卫部门回收后处理</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项目固废暂存间能够满足《一般工业固体废物贮存和填埋污染控制标准（GB 18599-2020）》相关要求，危废暂存间能够满足《危险废物贮存污染控制标准》及其修改单相关要求</w:t>
      </w:r>
      <w:r>
        <w:rPr>
          <w:rFonts w:hint="eastAsia" w:ascii="Times New Roman" w:hAnsi="Times New Roman" w:cs="Times New Roman"/>
          <w:b w:val="0"/>
          <w:bCs w:val="0"/>
          <w:color w:val="auto"/>
          <w:sz w:val="24"/>
          <w:szCs w:val="24"/>
          <w:lang w:val="en-US" w:eastAsia="zh-CN"/>
        </w:rPr>
        <w:t>。</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highlight w:val="none"/>
          <w:u w:val="none"/>
          <w:lang w:val="en-US" w:eastAsia="zh-CN"/>
        </w:rPr>
      </w:pPr>
      <w:r>
        <w:rPr>
          <w:rFonts w:hint="default" w:ascii="Times New Roman" w:hAnsi="Times New Roman" w:cs="Times New Roman"/>
          <w:b w:val="0"/>
          <w:bCs w:val="0"/>
          <w:color w:val="auto"/>
          <w:sz w:val="24"/>
          <w:szCs w:val="24"/>
          <w:highlight w:val="none"/>
          <w:u w:val="none"/>
          <w:lang w:val="en-US" w:eastAsia="zh-CN"/>
        </w:rPr>
        <w:t>（7）环境风险应急预案</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202</w:t>
      </w:r>
      <w:r>
        <w:rPr>
          <w:rFonts w:hint="eastAsia" w:ascii="Times New Roman" w:hAnsi="Times New Roman" w:cs="Times New Roman"/>
          <w:b w:val="0"/>
          <w:bCs w:val="0"/>
          <w:color w:val="auto"/>
          <w:sz w:val="24"/>
          <w:szCs w:val="24"/>
          <w:u w:val="none"/>
          <w:lang w:val="en-US" w:eastAsia="zh-CN"/>
        </w:rPr>
        <w:t>0</w:t>
      </w:r>
      <w:r>
        <w:rPr>
          <w:rFonts w:hint="default" w:ascii="Times New Roman" w:hAnsi="Times New Roman" w:cs="Times New Roman"/>
          <w:b w:val="0"/>
          <w:bCs w:val="0"/>
          <w:color w:val="auto"/>
          <w:sz w:val="24"/>
          <w:szCs w:val="24"/>
          <w:u w:val="none"/>
          <w:lang w:val="en-US" w:eastAsia="zh-CN"/>
        </w:rPr>
        <w:t>年</w:t>
      </w:r>
      <w:r>
        <w:rPr>
          <w:rFonts w:hint="eastAsia" w:ascii="Times New Roman" w:hAnsi="Times New Roman" w:cs="Times New Roman"/>
          <w:b w:val="0"/>
          <w:bCs w:val="0"/>
          <w:color w:val="auto"/>
          <w:sz w:val="24"/>
          <w:szCs w:val="24"/>
          <w:u w:val="none"/>
          <w:lang w:val="en-US" w:eastAsia="zh-CN"/>
        </w:rPr>
        <w:t>12</w:t>
      </w:r>
      <w:r>
        <w:rPr>
          <w:rFonts w:hint="default" w:ascii="Times New Roman" w:hAnsi="Times New Roman" w:cs="Times New Roman"/>
          <w:b w:val="0"/>
          <w:bCs w:val="0"/>
          <w:color w:val="auto"/>
          <w:sz w:val="24"/>
          <w:szCs w:val="24"/>
          <w:u w:val="none"/>
          <w:lang w:val="en-US" w:eastAsia="zh-CN"/>
        </w:rPr>
        <w:t>月</w:t>
      </w:r>
      <w:r>
        <w:rPr>
          <w:rFonts w:hint="eastAsia" w:ascii="Times New Roman" w:hAnsi="Times New Roman" w:cs="Times New Roman"/>
          <w:b w:val="0"/>
          <w:bCs w:val="0"/>
          <w:color w:val="auto"/>
          <w:sz w:val="24"/>
          <w:szCs w:val="24"/>
          <w:u w:val="none"/>
          <w:lang w:val="en-US" w:eastAsia="zh-CN"/>
        </w:rPr>
        <w:t>10</w:t>
      </w:r>
      <w:r>
        <w:rPr>
          <w:rFonts w:hint="default" w:ascii="Times New Roman" w:hAnsi="Times New Roman" w:cs="Times New Roman"/>
          <w:b w:val="0"/>
          <w:bCs w:val="0"/>
          <w:color w:val="auto"/>
          <w:sz w:val="24"/>
          <w:szCs w:val="24"/>
          <w:u w:val="none"/>
          <w:lang w:val="en-US" w:eastAsia="zh-CN"/>
        </w:rPr>
        <w:t>日，</w:t>
      </w:r>
      <w:r>
        <w:rPr>
          <w:rFonts w:hint="eastAsia" w:ascii="Times New Roman" w:hAnsi="Times New Roman" w:cs="Times New Roman"/>
          <w:b w:val="0"/>
          <w:bCs w:val="0"/>
          <w:color w:val="auto"/>
          <w:sz w:val="24"/>
          <w:szCs w:val="24"/>
          <w:u w:val="none"/>
          <w:lang w:val="en-US" w:eastAsia="zh-CN"/>
        </w:rPr>
        <w:t>新乡市俊业新材料有限公司</w:t>
      </w:r>
      <w:r>
        <w:rPr>
          <w:rFonts w:hint="default" w:ascii="Times New Roman" w:hAnsi="Times New Roman" w:cs="Times New Roman"/>
          <w:b w:val="0"/>
          <w:bCs w:val="0"/>
          <w:color w:val="auto"/>
          <w:sz w:val="24"/>
          <w:szCs w:val="24"/>
          <w:u w:val="none"/>
          <w:lang w:val="en-US" w:eastAsia="zh-CN"/>
        </w:rPr>
        <w:t>签署发布了环境事件应急预案，于2022年</w:t>
      </w:r>
      <w:r>
        <w:rPr>
          <w:rFonts w:hint="eastAsia" w:ascii="Times New Roman" w:hAnsi="Times New Roman" w:cs="Times New Roman"/>
          <w:b w:val="0"/>
          <w:bCs w:val="0"/>
          <w:color w:val="auto"/>
          <w:sz w:val="24"/>
          <w:szCs w:val="24"/>
          <w:u w:val="none"/>
          <w:lang w:val="en-US" w:eastAsia="zh-CN"/>
        </w:rPr>
        <w:t>12</w:t>
      </w:r>
      <w:r>
        <w:rPr>
          <w:rFonts w:hint="default" w:ascii="Times New Roman" w:hAnsi="Times New Roman" w:cs="Times New Roman"/>
          <w:b w:val="0"/>
          <w:bCs w:val="0"/>
          <w:color w:val="auto"/>
          <w:sz w:val="24"/>
          <w:szCs w:val="24"/>
          <w:u w:val="none"/>
          <w:lang w:val="en-US" w:eastAsia="zh-CN"/>
        </w:rPr>
        <w:t>月</w:t>
      </w:r>
      <w:r>
        <w:rPr>
          <w:rFonts w:hint="eastAsia" w:ascii="Times New Roman" w:hAnsi="Times New Roman" w:cs="Times New Roman"/>
          <w:b w:val="0"/>
          <w:bCs w:val="0"/>
          <w:color w:val="auto"/>
          <w:sz w:val="24"/>
          <w:szCs w:val="24"/>
          <w:u w:val="none"/>
          <w:lang w:val="en-US" w:eastAsia="zh-CN"/>
        </w:rPr>
        <w:t>11</w:t>
      </w:r>
      <w:r>
        <w:rPr>
          <w:rFonts w:hint="default" w:ascii="Times New Roman" w:hAnsi="Times New Roman" w:cs="Times New Roman"/>
          <w:b w:val="0"/>
          <w:bCs w:val="0"/>
          <w:color w:val="auto"/>
          <w:sz w:val="24"/>
          <w:szCs w:val="24"/>
          <w:u w:val="none"/>
          <w:lang w:val="en-US" w:eastAsia="zh-CN"/>
        </w:rPr>
        <w:t>日得到新乡市生态环境局牧野分局的备案批复，备案编号为410711202</w:t>
      </w:r>
      <w:r>
        <w:rPr>
          <w:rFonts w:hint="eastAsia" w:ascii="Times New Roman" w:hAnsi="Times New Roman" w:cs="Times New Roman"/>
          <w:b w:val="0"/>
          <w:bCs w:val="0"/>
          <w:color w:val="auto"/>
          <w:sz w:val="24"/>
          <w:szCs w:val="24"/>
          <w:u w:val="none"/>
          <w:lang w:val="en-US" w:eastAsia="zh-CN"/>
        </w:rPr>
        <w:t>0</w:t>
      </w:r>
      <w:r>
        <w:rPr>
          <w:rFonts w:hint="default" w:ascii="Times New Roman" w:hAnsi="Times New Roman" w:cs="Times New Roman"/>
          <w:b w:val="0"/>
          <w:bCs w:val="0"/>
          <w:color w:val="auto"/>
          <w:sz w:val="24"/>
          <w:szCs w:val="24"/>
          <w:u w:val="none"/>
          <w:lang w:val="en-US" w:eastAsia="zh-CN"/>
        </w:rPr>
        <w:t>00</w:t>
      </w:r>
      <w:r>
        <w:rPr>
          <w:rFonts w:hint="eastAsia" w:ascii="Times New Roman" w:hAnsi="Times New Roman" w:cs="Times New Roman"/>
          <w:b w:val="0"/>
          <w:bCs w:val="0"/>
          <w:color w:val="auto"/>
          <w:sz w:val="24"/>
          <w:szCs w:val="24"/>
          <w:u w:val="none"/>
          <w:lang w:val="en-US" w:eastAsia="zh-CN"/>
        </w:rPr>
        <w:t>12</w:t>
      </w:r>
      <w:r>
        <w:rPr>
          <w:rFonts w:hint="default" w:ascii="Times New Roman" w:hAnsi="Times New Roman" w:cs="Times New Roman"/>
          <w:b w:val="0"/>
          <w:bCs w:val="0"/>
          <w:color w:val="auto"/>
          <w:sz w:val="24"/>
          <w:szCs w:val="24"/>
          <w:u w:val="none"/>
          <w:lang w:val="en-US" w:eastAsia="zh-CN"/>
        </w:rPr>
        <w:t>L，备案证明见附件。</w:t>
      </w:r>
    </w:p>
    <w:p>
      <w:pPr>
        <w:pStyle w:val="5"/>
        <w:bidi w:val="0"/>
        <w:rPr>
          <w:rFonts w:hint="default" w:ascii="Times New Roman" w:hAnsi="Times New Roman" w:cs="Times New Roman"/>
          <w:lang w:val="en-US" w:eastAsia="zh-CN"/>
        </w:rPr>
      </w:pPr>
      <w:bookmarkStart w:id="96" w:name="_Toc5004"/>
      <w:r>
        <w:rPr>
          <w:rFonts w:hint="default" w:ascii="Times New Roman" w:hAnsi="Times New Roman" w:cs="Times New Roman"/>
          <w:lang w:val="en-US" w:eastAsia="zh-CN"/>
        </w:rPr>
        <w:t>3.2现场考察</w:t>
      </w:r>
      <w:bookmarkEnd w:id="96"/>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3.2.1 现场考察内容</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（1）参照工艺流程图，按照工艺流程的顺序，对整个生产过程进行实际考察，从原料开始，逐一考察各个车间和“三废”处理设施；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（2）考察各产污环节和能耗大的环节，设备事故多发的环节或部位；</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（3）考察生产管理状况，如岗位责任制执行状况，工人技术水平及实际操作状况，车间技术人员及工人的清洁生产意识等。</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3.2.2现场考察方法</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核查分析有关设计资料和图纸，工艺流程图及其说明，计量网络图及计量用具配置，物料衡算、能（热）量衡算的情况，设备与管线的选型与布置和运行状况等，另外，还查阅了岗位记录，生产报表、原料及成品库存记录、监测报表等。</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（2）与工人和工程技术人员交流或座谈，了解并核查实际的生产与排污情况，听取意见和建议，发现关键问题和部位，寻找问题原因，找出解决办法。</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3.2.3现场考察发现的问题</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在现场考察中，通过查验其工况，工作报表，与工作人员交谈，咨询行业专家等，发现企业生产各环节井然有序。但是在考察过程发现企业在生产及管理过程中仍然存在以下问题：</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1、酸洗工序产生的盐酸酸雾收集能力较差。</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2、生产线衔接不流畅，存在资源浪费现象。</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3、生产车间内温度较高，水雾严重。</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4、员工操作技能不高、清洁生产意识不强。</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5、生产记录不完善。</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对此，在考察结束后，审核小组将考察结果进行了书面汇总，并组织有关人员对发现的问题按照清洁生产所涉及的原辅材料及能源、生产工艺与设备、污染物产排、产品、过程控制、废弃物、员工技能及企业管理水平等八个方面进行了分析。</w:t>
      </w:r>
    </w:p>
    <w:p>
      <w:pPr>
        <w:pStyle w:val="5"/>
        <w:bidi w:val="0"/>
        <w:rPr>
          <w:rFonts w:hint="default" w:ascii="Times New Roman" w:hAnsi="Times New Roman" w:cs="Times New Roman"/>
          <w:lang w:val="en-US" w:eastAsia="zh-CN"/>
        </w:rPr>
      </w:pPr>
      <w:bookmarkStart w:id="97" w:name="_Toc25520"/>
      <w:r>
        <w:rPr>
          <w:rFonts w:hint="default" w:ascii="Times New Roman" w:hAnsi="Times New Roman" w:cs="Times New Roman"/>
          <w:lang w:val="en-US" w:eastAsia="zh-CN"/>
        </w:rPr>
        <w:t>3.3清洁生产水平定位分析</w:t>
      </w:r>
      <w:bookmarkEnd w:id="97"/>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本企业主要生产工艺为电镀工艺，对照《电镀行业清洁生产评价指标体系》中关于评价指标企业、权重及基准值，对于2021年企业清洁生产水平进行自我现状评价，评</w:t>
      </w:r>
      <w:r>
        <w:rPr>
          <w:rFonts w:hint="default" w:ascii="Times New Roman" w:hAnsi="Times New Roman" w:cs="Times New Roman"/>
          <w:b w:val="0"/>
          <w:bCs w:val="0"/>
          <w:color w:val="auto"/>
          <w:sz w:val="24"/>
          <w:szCs w:val="24"/>
          <w:lang w:val="en-US" w:eastAsia="zh-CN"/>
        </w:rPr>
        <w:t>分见下表。</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360" w:lineRule="auto"/>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val="en-US" w:eastAsia="zh-CN"/>
        </w:rPr>
        <w:t>表3-12   电镀行业清洁生产评价指标体系</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6"/>
        <w:gridCol w:w="646"/>
        <w:gridCol w:w="679"/>
        <w:gridCol w:w="1276"/>
        <w:gridCol w:w="657"/>
        <w:gridCol w:w="867"/>
        <w:gridCol w:w="2066"/>
        <w:gridCol w:w="1350"/>
        <w:gridCol w:w="1449"/>
        <w:gridCol w:w="1834"/>
        <w:gridCol w:w="676"/>
        <w:gridCol w:w="720"/>
        <w:gridCol w:w="77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64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一级标准</w:t>
            </w:r>
          </w:p>
        </w:tc>
        <w:tc>
          <w:tcPr>
            <w:tcW w:w="67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一级指标权重</w:t>
            </w: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二级指标</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单位</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二级指标权重</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Ⅰ级基准值</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Ⅱ级基准值</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Ⅲ级基准值</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本项目情况</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综合评价</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Y</w:t>
            </w:r>
            <w:r>
              <w:rPr>
                <w:rFonts w:hint="default" w:ascii="Times New Roman" w:hAnsi="Times New Roman" w:eastAsia="宋体" w:cs="Times New Roman"/>
                <w:b w:val="0"/>
                <w:bCs w:val="0"/>
                <w:color w:val="auto"/>
                <w:sz w:val="21"/>
                <w:szCs w:val="21"/>
                <w:u w:val="single"/>
                <w:vertAlign w:val="subscript"/>
                <w:lang w:val="en-US" w:eastAsia="zh-CN"/>
              </w:rPr>
              <w:t>Ⅱ</w:t>
            </w:r>
            <w:r>
              <w:rPr>
                <w:rFonts w:hint="default" w:ascii="Times New Roman" w:hAnsi="Times New Roman" w:eastAsia="宋体" w:cs="Times New Roman"/>
                <w:b w:val="0"/>
                <w:bCs w:val="0"/>
                <w:color w:val="auto"/>
                <w:sz w:val="21"/>
                <w:szCs w:val="21"/>
                <w:u w:val="single"/>
                <w:vertAlign w:val="baseline"/>
                <w:lang w:val="en-US" w:eastAsia="zh-CN"/>
              </w:rPr>
              <w:t>计算得分</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Y</w:t>
            </w:r>
            <w:r>
              <w:rPr>
                <w:rFonts w:hint="default" w:ascii="Times New Roman" w:hAnsi="Times New Roman" w:eastAsia="宋体" w:cs="Times New Roman"/>
                <w:b w:val="0"/>
                <w:bCs w:val="0"/>
                <w:color w:val="auto"/>
                <w:sz w:val="21"/>
                <w:szCs w:val="21"/>
                <w:u w:val="single"/>
                <w:vertAlign w:val="subscript"/>
                <w:lang w:val="en-US" w:eastAsia="zh-CN"/>
              </w:rPr>
              <w:t>Ⅲ</w:t>
            </w:r>
            <w:r>
              <w:rPr>
                <w:rFonts w:hint="default" w:ascii="Times New Roman" w:hAnsi="Times New Roman" w:eastAsia="宋体" w:cs="Times New Roman"/>
                <w:b w:val="0"/>
                <w:bCs w:val="0"/>
                <w:color w:val="auto"/>
                <w:sz w:val="21"/>
                <w:szCs w:val="21"/>
                <w:u w:val="single"/>
                <w:vertAlign w:val="baseline"/>
                <w:lang w:val="en-US" w:eastAsia="zh-CN"/>
              </w:rPr>
              <w:t>计算得分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6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生产工艺及装备指标</w:t>
            </w:r>
          </w:p>
        </w:tc>
        <w:tc>
          <w:tcPr>
            <w:tcW w:w="67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0.33</w:t>
            </w: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采用清洁生产工艺</w:t>
            </w:r>
            <w:r>
              <w:rPr>
                <w:rFonts w:hint="default" w:ascii="Times New Roman" w:hAnsi="Times New Roman" w:eastAsia="宋体" w:cs="Times New Roman"/>
                <w:b w:val="0"/>
                <w:bCs w:val="0"/>
                <w:color w:val="auto"/>
                <w:sz w:val="21"/>
                <w:szCs w:val="21"/>
                <w:vertAlign w:val="superscript"/>
                <w:lang w:val="en-US" w:eastAsia="zh-CN"/>
              </w:rPr>
              <w:t>①</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0.15</w:t>
            </w:r>
          </w:p>
        </w:tc>
        <w:tc>
          <w:tcPr>
            <w:tcW w:w="2066"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1.民用产品采用低铬</w:t>
            </w:r>
            <w:r>
              <w:rPr>
                <w:rFonts w:hint="default" w:ascii="Times New Roman" w:hAnsi="Times New Roman" w:eastAsia="宋体" w:cs="Times New Roman"/>
                <w:b w:val="0"/>
                <w:bCs w:val="0"/>
                <w:color w:val="auto"/>
                <w:sz w:val="21"/>
                <w:szCs w:val="21"/>
                <w:vertAlign w:val="superscript"/>
                <w:lang w:val="en-US" w:eastAsia="zh-CN"/>
              </w:rPr>
              <w:t>⑨</w:t>
            </w:r>
            <w:r>
              <w:rPr>
                <w:rFonts w:hint="default" w:ascii="Times New Roman" w:hAnsi="Times New Roman" w:eastAsia="宋体" w:cs="Times New Roman"/>
                <w:b w:val="0"/>
                <w:bCs w:val="0"/>
                <w:color w:val="auto"/>
                <w:sz w:val="21"/>
                <w:szCs w:val="21"/>
                <w:vertAlign w:val="baseline"/>
                <w:lang w:val="en-US" w:eastAsia="zh-CN"/>
              </w:rPr>
              <w:t>或三价铬钝化</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2.民用产品采用无氰电镀3.使用金属回收工艺</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4.电子元件采用无铅镀层替代铅锡合金</w:t>
            </w:r>
          </w:p>
        </w:tc>
        <w:tc>
          <w:tcPr>
            <w:tcW w:w="2799" w:type="dxa"/>
            <w:gridSpan w:val="2"/>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1.民用产品采用低铬</w:t>
            </w:r>
            <w:r>
              <w:rPr>
                <w:rFonts w:hint="default" w:ascii="Times New Roman" w:hAnsi="Times New Roman" w:eastAsia="宋体" w:cs="Times New Roman"/>
                <w:b w:val="0"/>
                <w:bCs w:val="0"/>
                <w:color w:val="auto"/>
                <w:sz w:val="21"/>
                <w:szCs w:val="21"/>
                <w:vertAlign w:val="superscript"/>
                <w:lang w:val="en-US" w:eastAsia="zh-CN"/>
              </w:rPr>
              <w:t>⑨</w:t>
            </w:r>
            <w:r>
              <w:rPr>
                <w:rFonts w:hint="default" w:ascii="Times New Roman" w:hAnsi="Times New Roman" w:eastAsia="宋体" w:cs="Times New Roman"/>
                <w:b w:val="0"/>
                <w:bCs w:val="0"/>
                <w:color w:val="auto"/>
                <w:sz w:val="21"/>
                <w:szCs w:val="21"/>
                <w:vertAlign w:val="baseline"/>
                <w:lang w:val="en-US" w:eastAsia="zh-CN"/>
              </w:rPr>
              <w:t>或三价铬钝化</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2.民用产品采用无氰电镀</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3.使用金属回收工艺</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本项目钝化不含铬，设置有镍回收系统。</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4.95</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4.95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清洁生产过程</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控制</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0.15</w:t>
            </w:r>
          </w:p>
        </w:tc>
        <w:tc>
          <w:tcPr>
            <w:tcW w:w="2066"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1.镀镍、锌液连续过滤</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2.及时补加和调整溶液</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3.定期去除溶液中的杂质</w:t>
            </w:r>
          </w:p>
        </w:tc>
        <w:tc>
          <w:tcPr>
            <w:tcW w:w="2799" w:type="dxa"/>
            <w:gridSpan w:val="2"/>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1.镀镍溶液连续过滤</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2.及时补加和调整溶液</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3.定期去除溶液中的杂质</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各电镀槽液采用低电流电解去除杂质；根据槽液使用情况，并及时补充和调整溶液</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Ⅱ级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4.95</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4.95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电镀生产线要</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求</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w:t>
            </w:r>
          </w:p>
        </w:tc>
        <w:tc>
          <w:tcPr>
            <w:tcW w:w="2066"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电镀生产线采用节能措施</w:t>
            </w:r>
            <w:r>
              <w:rPr>
                <w:rFonts w:hint="default" w:ascii="Times New Roman" w:hAnsi="Times New Roman" w:eastAsia="宋体" w:cs="Times New Roman"/>
                <w:b w:val="0"/>
                <w:bCs w:val="0"/>
                <w:color w:val="auto"/>
                <w:sz w:val="21"/>
                <w:szCs w:val="21"/>
                <w:vertAlign w:val="superscript"/>
                <w:lang w:val="en-US" w:eastAsia="zh-CN"/>
              </w:rPr>
              <w:t>②</w:t>
            </w:r>
            <w:r>
              <w:rPr>
                <w:rFonts w:hint="default" w:ascii="Times New Roman" w:hAnsi="Times New Roman" w:eastAsia="宋体" w:cs="Times New Roman"/>
                <w:b w:val="0"/>
                <w:bCs w:val="0"/>
                <w:color w:val="auto"/>
                <w:sz w:val="21"/>
                <w:szCs w:val="21"/>
                <w:vertAlign w:val="baseline"/>
                <w:lang w:val="en-US" w:eastAsia="zh-CN"/>
              </w:rPr>
              <w:t>，70%生产线实现自动化</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或半自动化</w:t>
            </w:r>
          </w:p>
        </w:tc>
        <w:tc>
          <w:tcPr>
            <w:tcW w:w="1350"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电镀生产线采用节能措施</w:t>
            </w:r>
            <w:r>
              <w:rPr>
                <w:rFonts w:hint="default" w:ascii="Times New Roman" w:hAnsi="Times New Roman" w:eastAsia="宋体" w:cs="Times New Roman"/>
                <w:b w:val="0"/>
                <w:bCs w:val="0"/>
                <w:color w:val="auto"/>
                <w:sz w:val="21"/>
                <w:szCs w:val="21"/>
                <w:vertAlign w:val="superscript"/>
                <w:lang w:val="en-US" w:eastAsia="zh-CN"/>
              </w:rPr>
              <w:t>②</w:t>
            </w:r>
            <w:r>
              <w:rPr>
                <w:rFonts w:hint="default" w:ascii="Times New Roman" w:hAnsi="Times New Roman" w:eastAsia="宋体" w:cs="Times New Roman"/>
                <w:b w:val="0"/>
                <w:bCs w:val="0"/>
                <w:color w:val="auto"/>
                <w:sz w:val="21"/>
                <w:szCs w:val="21"/>
                <w:vertAlign w:val="baseline"/>
                <w:lang w:val="en-US" w:eastAsia="zh-CN"/>
              </w:rPr>
              <w:t>，50%生产线实现自动化或半自动化</w:t>
            </w:r>
          </w:p>
        </w:tc>
        <w:tc>
          <w:tcPr>
            <w:tcW w:w="1449"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电镀生产线采用节能措施</w:t>
            </w:r>
            <w:r>
              <w:rPr>
                <w:rFonts w:hint="default" w:ascii="Times New Roman" w:hAnsi="Times New Roman" w:eastAsia="宋体" w:cs="Times New Roman"/>
                <w:b w:val="0"/>
                <w:bCs w:val="0"/>
                <w:color w:val="auto"/>
                <w:sz w:val="21"/>
                <w:szCs w:val="21"/>
                <w:vertAlign w:val="superscript"/>
                <w:lang w:val="en-US" w:eastAsia="zh-CN"/>
              </w:rPr>
              <w:t>②</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电镀生产线使用高频开关电源，其直流母线压降不超过 10%并且极杠清洁、导电良好，优选低耗能设备，生产用能耗全部采用电为能源；目前电镀线100%为全自动生产线。</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13.2</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有节水设施</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w:t>
            </w:r>
          </w:p>
        </w:tc>
        <w:tc>
          <w:tcPr>
            <w:tcW w:w="3416" w:type="dxa"/>
            <w:gridSpan w:val="2"/>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根据工艺选择逆流漂洗、淋洗、喷洗，电镀无单槽清洗等节水方式，有用水计量装置，有在线水回收设施</w:t>
            </w:r>
          </w:p>
        </w:tc>
        <w:tc>
          <w:tcPr>
            <w:tcW w:w="1449"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根据工艺选择逆流漂洗、淋洗、喷洗，电镀无单槽清洗等节水方式，有用水计量装置</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项目现有清洗方式为</w:t>
            </w:r>
            <w:r>
              <w:rPr>
                <w:rFonts w:hint="eastAsia" w:ascii="Times New Roman" w:hAnsi="Times New Roman" w:eastAsia="宋体" w:cs="Times New Roman"/>
                <w:b w:val="0"/>
                <w:bCs w:val="0"/>
                <w:color w:val="auto"/>
                <w:sz w:val="21"/>
                <w:szCs w:val="21"/>
                <w:vertAlign w:val="baseline"/>
                <w:lang w:val="en-US" w:eastAsia="zh-CN"/>
              </w:rPr>
              <w:t>逆流漂洗</w:t>
            </w:r>
            <w:r>
              <w:rPr>
                <w:rFonts w:hint="default" w:ascii="Times New Roman" w:hAnsi="Times New Roman" w:eastAsia="宋体" w:cs="Times New Roman"/>
                <w:b w:val="0"/>
                <w:bCs w:val="0"/>
                <w:color w:val="auto"/>
                <w:sz w:val="21"/>
                <w:szCs w:val="21"/>
                <w:vertAlign w:val="baseline"/>
                <w:lang w:val="en-US" w:eastAsia="zh-CN"/>
              </w:rPr>
              <w:t>，电镀无单槽清洗方式，用水计量装置未能满足精确计量要求，无在线水回收</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小于Ⅲ级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0</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eastAsia" w:ascii="Times New Roman" w:hAnsi="Times New Roman" w:eastAsia="宋体" w:cs="Times New Roman"/>
                <w:b w:val="0"/>
                <w:bCs w:val="0"/>
                <w:color w:val="auto"/>
                <w:sz w:val="21"/>
                <w:szCs w:val="21"/>
                <w:u w:val="single"/>
                <w:vertAlign w:val="baseline"/>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6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资源消耗指标</w:t>
            </w:r>
          </w:p>
        </w:tc>
        <w:tc>
          <w:tcPr>
            <w:tcW w:w="67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*单位产品每次清洗取水量</w:t>
            </w:r>
            <w:r>
              <w:rPr>
                <w:rFonts w:hint="default" w:ascii="Times New Roman" w:hAnsi="Times New Roman" w:eastAsia="宋体" w:cs="Times New Roman"/>
                <w:b w:val="0"/>
                <w:bCs w:val="0"/>
                <w:color w:val="auto"/>
                <w:sz w:val="21"/>
                <w:szCs w:val="21"/>
                <w:vertAlign w:val="superscript"/>
                <w:lang w:val="en-US" w:eastAsia="zh-CN"/>
              </w:rPr>
              <w:t>③</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L/m</w:t>
            </w:r>
            <w:r>
              <w:rPr>
                <w:rFonts w:hint="default" w:ascii="Times New Roman" w:hAnsi="Times New Roman" w:eastAsia="宋体" w:cs="Times New Roman"/>
                <w:b w:val="0"/>
                <w:bCs w:val="0"/>
                <w:color w:val="auto"/>
                <w:sz w:val="21"/>
                <w:szCs w:val="21"/>
                <w:highlight w:val="none"/>
                <w:vertAlign w:val="superscript"/>
                <w:lang w:val="en-US" w:eastAsia="zh-CN"/>
              </w:rPr>
              <w:t>2</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≤8</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≤24</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≤40</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30.36</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Ⅲ级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u w:val="single"/>
                <w:vertAlign w:val="baseline"/>
                <w:lang w:val="en-US" w:eastAsia="zh-CN" w:bidi="ar-SA"/>
              </w:rPr>
            </w:pPr>
            <w:r>
              <w:rPr>
                <w:rFonts w:hint="eastAsia" w:ascii="Times New Roman" w:hAnsi="Times New Roman" w:eastAsia="宋体" w:cs="Times New Roman"/>
                <w:b w:val="0"/>
                <w:bCs w:val="0"/>
                <w:color w:val="auto"/>
                <w:sz w:val="21"/>
                <w:szCs w:val="21"/>
                <w:highlight w:val="none"/>
                <w:u w:val="single"/>
                <w:vertAlign w:val="baseline"/>
                <w:lang w:val="en-US" w:eastAsia="zh-CN"/>
              </w:rPr>
              <w:t>0</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u w:val="single"/>
                <w:vertAlign w:val="baseline"/>
                <w:lang w:val="en-US" w:eastAsia="zh-CN" w:bidi="ar-SA"/>
              </w:rPr>
            </w:pPr>
            <w:r>
              <w:rPr>
                <w:rFonts w:hint="eastAsia" w:ascii="Times New Roman" w:hAnsi="Times New Roman" w:eastAsia="宋体" w:cs="Times New Roman"/>
                <w:b w:val="0"/>
                <w:bCs w:val="0"/>
                <w:color w:val="auto"/>
                <w:sz w:val="21"/>
                <w:szCs w:val="21"/>
                <w:highlight w:val="none"/>
                <w:u w:val="single"/>
                <w:vertAlign w:val="baseline"/>
                <w:lang w:val="en-US" w:eastAsia="zh-CN"/>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0.18</w:t>
            </w: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锌利用率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≥82</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≥75</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u w:val="single"/>
                <w:vertAlign w:val="baseline"/>
                <w:lang w:val="en-US" w:eastAsia="zh-CN" w:bidi="ar-SA"/>
              </w:rPr>
            </w:pPr>
            <w:r>
              <w:rPr>
                <w:rFonts w:hint="default" w:ascii="Times New Roman" w:hAnsi="Times New Roman" w:eastAsia="宋体" w:cs="Times New Roman"/>
                <w:b w:val="0"/>
                <w:bCs w:val="0"/>
                <w:color w:val="auto"/>
                <w:sz w:val="21"/>
                <w:szCs w:val="21"/>
                <w:highlight w:val="none"/>
                <w:u w:val="single"/>
                <w:vertAlign w:val="baseline"/>
                <w:lang w:val="en-US" w:eastAsia="zh-CN"/>
              </w:rPr>
              <w:t>/</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u w:val="single"/>
                <w:vertAlign w:val="baseline"/>
                <w:lang w:val="en-US" w:eastAsia="zh-CN" w:bidi="ar-SA"/>
              </w:rPr>
            </w:pPr>
            <w:r>
              <w:rPr>
                <w:rFonts w:hint="default" w:ascii="Times New Roman" w:hAnsi="Times New Roman" w:eastAsia="宋体" w:cs="Times New Roman"/>
                <w:b w:val="0"/>
                <w:bCs w:val="0"/>
                <w:color w:val="auto"/>
                <w:sz w:val="21"/>
                <w:szCs w:val="21"/>
                <w:highlight w:val="none"/>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铜利用率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≥90</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≥75</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u w:val="single"/>
                <w:vertAlign w:val="baseline"/>
                <w:lang w:val="en-US" w:eastAsia="zh-CN" w:bidi="ar-SA"/>
              </w:rPr>
            </w:pPr>
            <w:r>
              <w:rPr>
                <w:rFonts w:hint="default" w:ascii="Times New Roman" w:hAnsi="Times New Roman" w:eastAsia="宋体" w:cs="Times New Roman"/>
                <w:b w:val="0"/>
                <w:bCs w:val="0"/>
                <w:color w:val="auto"/>
                <w:sz w:val="21"/>
                <w:szCs w:val="21"/>
                <w:highlight w:val="none"/>
                <w:u w:val="single"/>
                <w:vertAlign w:val="baseline"/>
                <w:lang w:val="en-US" w:eastAsia="zh-CN"/>
              </w:rPr>
              <w:t>/</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u w:val="single"/>
                <w:vertAlign w:val="baseline"/>
                <w:lang w:val="en-US" w:eastAsia="zh-CN" w:bidi="ar-SA"/>
              </w:rPr>
            </w:pPr>
            <w:r>
              <w:rPr>
                <w:rFonts w:hint="default" w:ascii="Times New Roman" w:hAnsi="Times New Roman" w:eastAsia="宋体" w:cs="Times New Roman"/>
                <w:b w:val="0"/>
                <w:bCs w:val="0"/>
                <w:color w:val="auto"/>
                <w:sz w:val="21"/>
                <w:szCs w:val="21"/>
                <w:highlight w:val="none"/>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镍利用率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≥95</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≥85</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≥80</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94.8</w:t>
            </w: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Ⅱ级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u w:val="single"/>
                <w:vertAlign w:val="baseline"/>
                <w:lang w:val="en-US" w:eastAsia="zh-CN" w:bidi="ar-SA"/>
              </w:rPr>
            </w:pPr>
            <w:r>
              <w:rPr>
                <w:rFonts w:hint="default" w:ascii="Times New Roman" w:hAnsi="Times New Roman" w:eastAsia="宋体" w:cs="Times New Roman"/>
                <w:b w:val="0"/>
                <w:bCs w:val="0"/>
                <w:color w:val="auto"/>
                <w:sz w:val="21"/>
                <w:szCs w:val="21"/>
                <w:highlight w:val="none"/>
                <w:u w:val="single"/>
                <w:vertAlign w:val="baseline"/>
                <w:lang w:val="en-US" w:eastAsia="zh-CN"/>
              </w:rPr>
              <w:t>14.4</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u w:val="single"/>
                <w:vertAlign w:val="baseline"/>
                <w:lang w:val="en-US" w:eastAsia="zh-CN" w:bidi="ar-SA"/>
              </w:rPr>
            </w:pPr>
            <w:r>
              <w:rPr>
                <w:rFonts w:hint="default" w:ascii="Times New Roman" w:hAnsi="Times New Roman" w:eastAsia="宋体" w:cs="Times New Roman"/>
                <w:b w:val="0"/>
                <w:bCs w:val="0"/>
                <w:color w:val="auto"/>
                <w:sz w:val="21"/>
                <w:szCs w:val="21"/>
                <w:highlight w:val="none"/>
                <w:u w:val="single"/>
                <w:vertAlign w:val="baseline"/>
                <w:lang w:val="en-US" w:eastAsia="zh-CN"/>
              </w:rPr>
              <w:t>14.4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装饰铬利用率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≥24</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硬铬利用率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≥90</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≥70</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金利用率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≥98</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≥95</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≥90</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银利用率</w:t>
            </w:r>
            <w:r>
              <w:rPr>
                <w:rFonts w:hint="default" w:ascii="Times New Roman" w:hAnsi="Times New Roman" w:eastAsia="宋体" w:cs="Times New Roman"/>
                <w:b w:val="0"/>
                <w:bCs w:val="0"/>
                <w:color w:val="auto"/>
                <w:sz w:val="21"/>
                <w:szCs w:val="21"/>
                <w:vertAlign w:val="superscript"/>
                <w:lang w:val="en-US" w:eastAsia="zh-CN"/>
              </w:rPr>
              <w:t>④</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（含氰镀银）</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≥98</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≥95</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≥90</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13</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电镀用水重复利用率</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0.2</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≥40</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eastAsia" w:ascii="Times New Roman" w:hAnsi="Times New Roman" w:eastAsia="宋体" w:cs="Times New Roman"/>
                <w:b w:val="0"/>
                <w:bCs w:val="0"/>
                <w:color w:val="auto"/>
                <w:sz w:val="21"/>
                <w:szCs w:val="21"/>
                <w:u w:val="single"/>
                <w:vertAlign w:val="baseline"/>
                <w:lang w:val="en-US" w:eastAsia="zh-CN"/>
              </w:rPr>
              <w:t>3.6</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eastAsia" w:ascii="Times New Roman" w:hAnsi="Times New Roman" w:eastAsia="宋体" w:cs="Times New Roman"/>
                <w:b w:val="0"/>
                <w:bCs w:val="0"/>
                <w:color w:val="auto"/>
                <w:sz w:val="21"/>
                <w:szCs w:val="21"/>
                <w:u w:val="single"/>
                <w:vertAlign w:val="baseline"/>
                <w:lang w:val="en-US" w:eastAsia="zh-CN"/>
              </w:rPr>
              <w:t>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14</w:t>
            </w:r>
          </w:p>
        </w:tc>
        <w:tc>
          <w:tcPr>
            <w:tcW w:w="6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污染物产生指标</w:t>
            </w:r>
          </w:p>
        </w:tc>
        <w:tc>
          <w:tcPr>
            <w:tcW w:w="67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0.16</w:t>
            </w:r>
          </w:p>
        </w:tc>
        <w:tc>
          <w:tcPr>
            <w:tcW w:w="12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*电镀废水处理率</w:t>
            </w:r>
            <w:r>
              <w:rPr>
                <w:rFonts w:hint="default" w:ascii="Times New Roman" w:hAnsi="Times New Roman" w:eastAsia="宋体" w:cs="Times New Roman"/>
                <w:b w:val="0"/>
                <w:bCs w:val="0"/>
                <w:color w:val="auto"/>
                <w:sz w:val="21"/>
                <w:szCs w:val="21"/>
                <w:vertAlign w:val="superscript"/>
                <w:lang w:val="en-US" w:eastAsia="zh-CN"/>
              </w:rPr>
              <w:t>⑩</w:t>
            </w:r>
          </w:p>
        </w:tc>
        <w:tc>
          <w:tcPr>
            <w:tcW w:w="65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0.5</w:t>
            </w:r>
          </w:p>
        </w:tc>
        <w:tc>
          <w:tcPr>
            <w:tcW w:w="486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8</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*有减少重金属污染物污染防治措施</w:t>
            </w:r>
            <w:r>
              <w:rPr>
                <w:rFonts w:hint="default" w:ascii="Times New Roman" w:hAnsi="Times New Roman" w:eastAsia="宋体" w:cs="Times New Roman"/>
                <w:b w:val="0"/>
                <w:bCs w:val="0"/>
                <w:color w:val="auto"/>
                <w:sz w:val="21"/>
                <w:szCs w:val="21"/>
                <w:vertAlign w:val="superscript"/>
                <w:lang w:val="en-US" w:eastAsia="zh-CN"/>
              </w:rPr>
              <w:t>⑤</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w:t>
            </w:r>
          </w:p>
        </w:tc>
        <w:tc>
          <w:tcPr>
            <w:tcW w:w="341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使用四项以上（含四项）减少镀液带出措施</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至少使用三项减少镀液带出措施</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合理延长滚筒空中停滞时间；设有贵金属回收槽；废水处理设施处理后产生的污泥将交由有资质的单位进行回收处置；安装设备减震，减少滚筒转移过程振动甩出镀液。</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3.2</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*危险废物污染防治措施</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w:t>
            </w:r>
          </w:p>
        </w:tc>
        <w:tc>
          <w:tcPr>
            <w:tcW w:w="486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电镀污泥、废液在企业内回收或送到有资质单位回收重金属，交外单位转移须提供危险废物转移联单</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电镀污泥委托有资质单位回收重金属，并由其提供危险废物转移联单。</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4.8</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4.8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16</w:t>
            </w:r>
          </w:p>
        </w:tc>
        <w:tc>
          <w:tcPr>
            <w:tcW w:w="64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产品特征指标</w:t>
            </w:r>
          </w:p>
        </w:tc>
        <w:tc>
          <w:tcPr>
            <w:tcW w:w="67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0.07</w:t>
            </w: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产品合格率保障措施</w:t>
            </w:r>
            <w:r>
              <w:rPr>
                <w:rFonts w:hint="default" w:ascii="Times New Roman" w:hAnsi="Times New Roman" w:eastAsia="宋体" w:cs="Times New Roman"/>
                <w:b w:val="0"/>
                <w:bCs w:val="0"/>
                <w:color w:val="auto"/>
                <w:sz w:val="21"/>
                <w:szCs w:val="21"/>
                <w:vertAlign w:val="superscript"/>
                <w:lang w:val="en-US" w:eastAsia="zh-CN"/>
              </w:rPr>
              <w:t>⑥</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有镀液成分和杂质定量检测措施、有记录；产品质量检测设备和产品检测记录</w:t>
            </w:r>
          </w:p>
        </w:tc>
        <w:tc>
          <w:tcPr>
            <w:tcW w:w="279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有镀液成分定量检测措施、有记录；产品质量检测设备和产品检测记录</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有镀液成分定量检测措施、有记录；产品质量检测设备和产品检测记录</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Ⅱ</w:t>
            </w:r>
            <w:r>
              <w:rPr>
                <w:rFonts w:hint="default" w:ascii="Times New Roman" w:hAnsi="Times New Roman" w:eastAsia="宋体" w:cs="Times New Roman"/>
                <w:b w:val="0"/>
                <w:bCs w:val="0"/>
                <w:color w:val="auto"/>
                <w:sz w:val="21"/>
                <w:szCs w:val="21"/>
                <w:vertAlign w:val="baseline"/>
                <w:lang w:val="en-US" w:eastAsia="zh-CN"/>
              </w:rPr>
              <w:t>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7</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w:t>
            </w:r>
          </w:p>
        </w:tc>
        <w:tc>
          <w:tcPr>
            <w:tcW w:w="6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清洁生产管理指标</w:t>
            </w:r>
          </w:p>
        </w:tc>
        <w:tc>
          <w:tcPr>
            <w:tcW w:w="67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0.16</w:t>
            </w: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*环境法律法规标准执行情况</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w:t>
            </w:r>
          </w:p>
        </w:tc>
        <w:tc>
          <w:tcPr>
            <w:tcW w:w="486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废水、废气、噪声等污染物排放符合国家和地方排放标准；主要污染物排放应达到国家和地方污染物排放总量控制指标</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本项目废水、废气、噪声等符合国家和地方排放标准，满足总量控制要求。</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3.2</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*产业政策执行情况</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w:t>
            </w:r>
          </w:p>
        </w:tc>
        <w:tc>
          <w:tcPr>
            <w:tcW w:w="486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生产规模和工艺符合国家和地方相关产业政策</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本项目建设符合《产业结构调整指导目录》（2019 年本）</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3.2</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环境管理体系制度及清洁生产审核情况</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按照GB/T24001建立并运行环境管理体系，环境管理程序文件及作业文件齐备；按照国家和地方要求，开展清洁生产审核</w:t>
            </w:r>
          </w:p>
        </w:tc>
        <w:tc>
          <w:tcPr>
            <w:tcW w:w="279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拥有健全的环境管理体系和完备的管理文件；按照国家和地方要求，开展清洁生产审核</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拥有健全的环境管理体系和完备的管理文件；按照国家和地方要求，开展清洁生产审核</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Ⅱ级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*危险化学品管理</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486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符合《危险化学品安全管理条例》相关要求</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严格按照《危险化学品安全管理条例》相关要求执行</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21</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废水、废气处理设施运行管理</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206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非电镀车间废水不得混入</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电镀废水处理系统；建有废水处理设施运行中控系统，包括自动加药装置等；出口有pH自动监测装置，建立治污设施运行台账；对有害气体有良好的净化装置，并定期检测</w:t>
            </w:r>
          </w:p>
        </w:tc>
        <w:tc>
          <w:tcPr>
            <w:tcW w:w="13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非电镀车间废水不得混入电镀废水处理系统；建立治污设施运行台账，有自动加药装置，出口有pH自动监测装置，对有害气体有良好的净化装置，并定期检测</w:t>
            </w:r>
          </w:p>
        </w:tc>
        <w:tc>
          <w:tcPr>
            <w:tcW w:w="1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非电镀车间废水不得混入电镀废水处理系统；建立治污设施运行台账，出口有pH自动监测装置，对有害气体有良好的净化装置，并定期检测</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本项目完成后，电镀废水单独</w:t>
            </w:r>
            <w:r>
              <w:rPr>
                <w:rFonts w:hint="default" w:ascii="Times New Roman" w:hAnsi="Times New Roman" w:eastAsia="宋体" w:cs="Times New Roman"/>
                <w:b w:val="0"/>
                <w:bCs w:val="0"/>
                <w:color w:val="auto"/>
                <w:sz w:val="21"/>
                <w:szCs w:val="21"/>
                <w:highlight w:val="none"/>
                <w:vertAlign w:val="baseline"/>
                <w:lang w:val="en-US" w:eastAsia="zh-CN"/>
              </w:rPr>
              <w:t>处理；非电镀废水经独立废水站处理达标后与生活污水一起排入市政管网</w:t>
            </w:r>
            <w:r>
              <w:rPr>
                <w:rFonts w:hint="eastAsia" w:ascii="Times New Roman" w:hAnsi="Times New Roman" w:eastAsia="宋体" w:cs="Times New Roman"/>
                <w:b w:val="0"/>
                <w:bCs w:val="0"/>
                <w:color w:val="auto"/>
                <w:sz w:val="21"/>
                <w:szCs w:val="21"/>
                <w:highlight w:val="none"/>
                <w:vertAlign w:val="baseline"/>
                <w:lang w:val="en-US" w:eastAsia="zh-CN"/>
              </w:rPr>
              <w:t>，未设置自动投药装置</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Ⅲ级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0</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eastAsia"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22</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*危险废物处理处置</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486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危险废物按照GB18579等相关规定执行</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全厂危险废物按照GB18579等相关规定执行</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23</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能源计量器具配备情况</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486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能源计量器具配备率符合GB17167标准</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全厂严格按照GB17167标准配备能源计量器具</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24</w:t>
            </w:r>
          </w:p>
        </w:tc>
        <w:tc>
          <w:tcPr>
            <w:tcW w:w="6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33"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*环境应急预案</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486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编制系统的环境应急预案并开展环境应急演练</w:t>
            </w:r>
          </w:p>
        </w:tc>
        <w:tc>
          <w:tcPr>
            <w:tcW w:w="183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已编制系统的环境应急预案并开展环境应急演练</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Ⅰ级</w:t>
            </w:r>
          </w:p>
        </w:tc>
        <w:tc>
          <w:tcPr>
            <w:tcW w:w="7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77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56" w:type="dxa"/>
            <w:gridSpan w:val="11"/>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合计</w:t>
            </w:r>
          </w:p>
        </w:tc>
        <w:tc>
          <w:tcPr>
            <w:tcW w:w="720" w:type="dxa"/>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eastAsia" w:ascii="Times New Roman" w:hAnsi="Times New Roman" w:eastAsia="宋体" w:cs="Times New Roman"/>
                <w:b w:val="0"/>
                <w:bCs w:val="0"/>
                <w:color w:val="auto"/>
                <w:sz w:val="21"/>
                <w:szCs w:val="21"/>
                <w:u w:val="single"/>
                <w:vertAlign w:val="baseline"/>
                <w:lang w:val="en-US" w:eastAsia="zh-CN"/>
              </w:rPr>
              <w:t>78.5</w:t>
            </w:r>
          </w:p>
        </w:tc>
        <w:tc>
          <w:tcPr>
            <w:tcW w:w="778" w:type="dxa"/>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eastAsia" w:ascii="Times New Roman" w:hAnsi="Times New Roman" w:eastAsia="宋体" w:cs="Times New Roman"/>
                <w:b w:val="0"/>
                <w:bCs w:val="0"/>
                <w:color w:val="auto"/>
                <w:sz w:val="21"/>
                <w:szCs w:val="21"/>
                <w:u w:val="single"/>
                <w:vertAlign w:val="baseline"/>
                <w:lang w:val="en-US" w:eastAsia="zh-CN"/>
              </w:rPr>
              <w:t>90.1</w:t>
            </w:r>
          </w:p>
        </w:tc>
      </w:tr>
    </w:tbl>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注：带*的指标为限定性指标</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①使用金属回收工艺可以选用镀液回收槽、离子交换法回收、膜处理回收、电镀污泥交有资质单位回收金属等方法；</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②电镀生产线节能措施包括使用高频开关电源和或可控硅整流器和或脉冲电源，其直流母线压降不超过10%并且极杠清洁、导电良好、淘汰高耗能设备、使用清洁燃料；</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③每次清洗取水量使之按照操作规程每次清洗所耗用水量，多级逆流漂洗按照级数计算清洗次数；</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④镀锌、铜、镍、装饰铬、硬铬、镀金和含氰镀银为七个常规镀种，计算金属利用率时n为被审核镀种数；镀锡、无氰镀银等其他镀种可参照铜利用率计算。</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⑤减少单位产品重金属污染物产生的措施包括：镀件缓慢出槽以延长镀液滴流时间（影响产品质量的除外）、挂具浸塑、科学装挂镀件、增加镀液回收槽、镀槽间装导流板，槽上喷雾清洗或淋洗（非加热镀槽除外）、在线或离线回收重金属等。</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⑥提高电镀产品合格率是最有效减少污染物产生的措施，“有镀液成分和杂质定量检测措施、有记录”是指使用仪器定量检测镀液成分和主要杂质并由日常运行记录或委外检测报告。</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⑦自动生成线所占百分比以产能计算；多品种、小批量生成的电镀企业对生产线自动化没有要求；</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⑧生产车间基本要求：设备和管道无跑冒滴漏，有可靠的防范泄漏措施、生产作业地面、输送废水管道、废水处理系统由防腐防渗措施、有酸雾、氰化氢、氟化物、颗粒物等废气净化设施，有运行记录。</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⑨低铬钝化指钝化液中铬酸酐含量低于5g/L。</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⑩电镀废水处理量应大于电镀车间总用水量的85%（高温处理槽为主的生产线除外）。</w:t>
      </w:r>
    </w:p>
    <w:p>
      <w:pPr>
        <w:spacing w:line="360" w:lineRule="auto"/>
        <w:jc w:val="both"/>
        <w:rPr>
          <w:rFonts w:hint="default" w:ascii="Times New Roman" w:hAnsi="Times New Roman" w:cs="Times New Roman"/>
          <w:b w:val="0"/>
          <w:bCs w:val="0"/>
          <w:color w:val="auto"/>
          <w:sz w:val="24"/>
          <w:szCs w:val="24"/>
          <w:lang w:val="en-US" w:eastAsia="zh-CN"/>
        </w:rPr>
      </w:pPr>
      <w:r>
        <w:rPr>
          <w:rFonts w:hint="default" w:ascii="Times New Roman" w:hAnsi="Times New Roman" w:eastAsia="宋体" w:cs="Times New Roman"/>
          <w:color w:val="000000"/>
          <w:kern w:val="0"/>
          <w:sz w:val="19"/>
          <w:szCs w:val="19"/>
          <w:lang w:val="en-US" w:eastAsia="zh-CN" w:bidi="ar"/>
        </w:rPr>
        <w:t>⑪非电镀车间废水：电镀车间废水包括电镀车间生产、现场洗手、洗工服、洗澡、化验室等产生的废水。其他无关车间并不含重金属的废水为非电镀车间废水。</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3.3.1 评价方法</w:t>
      </w:r>
    </w:p>
    <w:p>
      <w:pPr>
        <w:bidi w:val="0"/>
        <w:spacing w:line="60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rPr>
        <w:drawing>
          <wp:inline distT="0" distB="0" distL="114300" distR="114300">
            <wp:extent cx="2367280" cy="824230"/>
            <wp:effectExtent l="0" t="0" r="13970" b="1397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pic:cNvPicPr>
                  </pic:nvPicPr>
                  <pic:blipFill>
                    <a:blip r:embed="rId43"/>
                    <a:stretch>
                      <a:fillRect/>
                    </a:stretch>
                  </pic:blipFill>
                  <pic:spPr>
                    <a:xfrm>
                      <a:off x="0" y="0"/>
                      <a:ext cx="2367280" cy="824230"/>
                    </a:xfrm>
                    <a:prstGeom prst="rect">
                      <a:avLst/>
                    </a:prstGeom>
                    <a:noFill/>
                    <a:ln>
                      <a:noFill/>
                    </a:ln>
                  </pic:spPr>
                </pic:pic>
              </a:graphicData>
            </a:graphic>
          </wp:inline>
        </w:drawing>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式中，</w:t>
      </w:r>
      <w:r>
        <w:rPr>
          <w:rFonts w:hint="default" w:ascii="Times New Roman" w:hAnsi="Times New Roman" w:cs="Times New Roman"/>
          <w:b w:val="0"/>
          <w:bCs w:val="0"/>
          <w:color w:val="auto"/>
          <w:position w:val="-14"/>
          <w:sz w:val="24"/>
          <w:szCs w:val="24"/>
          <w:lang w:val="en-US" w:eastAsia="zh-CN"/>
        </w:rPr>
        <w:object>
          <v:shape id="_x0000_i1039" o:spt="75" type="#_x0000_t75" style="height:19pt;width:15pt;" o:ole="t" filled="f" o:preferrelative="t" stroked="f" coordsize="21600,21600">
            <v:path/>
            <v:fill on="f" focussize="0,0"/>
            <v:stroke on="f"/>
            <v:imagedata r:id="rId45" o:title=""/>
            <o:lock v:ext="edit" aspectratio="t"/>
            <w10:wrap type="none"/>
            <w10:anchorlock/>
          </v:shape>
          <o:OLEObject Type="Embed" ProgID="Equation.KSEE3" ShapeID="_x0000_i1039" DrawAspect="Content" ObjectID="_1468075740" r:id="rId44">
            <o:LockedField>false</o:LockedField>
          </o:OLEObject>
        </w:object>
      </w:r>
      <w:r>
        <w:rPr>
          <w:rFonts w:hint="default" w:ascii="Times New Roman" w:hAnsi="Times New Roman" w:cs="Times New Roman"/>
          <w:b w:val="0"/>
          <w:bCs w:val="0"/>
          <w:color w:val="auto"/>
          <w:sz w:val="24"/>
          <w:szCs w:val="24"/>
          <w:lang w:val="en-US" w:eastAsia="zh-CN"/>
        </w:rPr>
        <w:t>表示第i个一级指标下的第j个二级指标；</w:t>
      </w:r>
      <w:r>
        <w:rPr>
          <w:rFonts w:hint="default" w:ascii="Times New Roman" w:hAnsi="Times New Roman" w:cs="Times New Roman"/>
          <w:b w:val="0"/>
          <w:bCs w:val="0"/>
          <w:color w:val="auto"/>
          <w:position w:val="-10"/>
          <w:sz w:val="24"/>
          <w:szCs w:val="24"/>
          <w:lang w:val="en-US" w:eastAsia="zh-CN"/>
        </w:rPr>
        <w:object>
          <v:shape id="_x0000_i1040" o:spt="75" type="#_x0000_t75" style="height:17pt;width:13.95pt;" o:ole="t" filled="f" o:preferrelative="t" stroked="f" coordsize="21600,21600">
            <v:path/>
            <v:fill on="f" focussize="0,0"/>
            <v:stroke on="f"/>
            <v:imagedata r:id="rId47" o:title=""/>
            <o:lock v:ext="edit" aspectratio="t"/>
            <w10:wrap type="none"/>
            <w10:anchorlock/>
          </v:shape>
          <o:OLEObject Type="Embed" ProgID="Equation.KSEE3" ShapeID="_x0000_i1040" DrawAspect="Content" ObjectID="_1468075741" r:id="rId46">
            <o:LockedField>false</o:LockedField>
          </o:OLEObject>
        </w:object>
      </w:r>
      <w:r>
        <w:rPr>
          <w:rFonts w:hint="default" w:ascii="Times New Roman" w:hAnsi="Times New Roman" w:cs="Times New Roman"/>
          <w:b w:val="0"/>
          <w:bCs w:val="0"/>
          <w:color w:val="auto"/>
          <w:sz w:val="24"/>
          <w:szCs w:val="24"/>
          <w:lang w:val="en-US" w:eastAsia="zh-CN"/>
        </w:rPr>
        <w:t>表示二级指标基准值，其中</w:t>
      </w:r>
      <w:r>
        <w:rPr>
          <w:rFonts w:hint="default" w:ascii="Times New Roman" w:hAnsi="Times New Roman" w:cs="Times New Roman"/>
          <w:b w:val="0"/>
          <w:bCs w:val="0"/>
          <w:color w:val="auto"/>
          <w:position w:val="-10"/>
          <w:sz w:val="24"/>
          <w:szCs w:val="24"/>
          <w:lang w:val="en-US" w:eastAsia="zh-CN"/>
        </w:rPr>
        <w:object>
          <v:shape id="_x0000_i1041" o:spt="75" type="#_x0000_t75" style="height:17pt;width:13pt;" o:ole="t" filled="f" o:preferrelative="t" stroked="f" coordsize="21600,21600">
            <v:path/>
            <v:fill on="f" focussize="0,0"/>
            <v:stroke on="f"/>
            <v:imagedata r:id="rId49" o:title=""/>
            <o:lock v:ext="edit" aspectratio="t"/>
            <w10:wrap type="none"/>
            <w10:anchorlock/>
          </v:shape>
          <o:OLEObject Type="Embed" ProgID="Equation.KSEE3" ShapeID="_x0000_i1041" DrawAspect="Content" ObjectID="_1468075742" r:id="rId48">
            <o:LockedField>false</o:LockedField>
          </o:OLEObject>
        </w:object>
      </w:r>
      <w:r>
        <w:rPr>
          <w:rFonts w:hint="default" w:ascii="Times New Roman" w:hAnsi="Times New Roman" w:cs="Times New Roman"/>
          <w:b w:val="0"/>
          <w:bCs w:val="0"/>
          <w:color w:val="auto"/>
          <w:sz w:val="24"/>
          <w:szCs w:val="24"/>
          <w:lang w:val="en-US" w:eastAsia="zh-CN"/>
        </w:rPr>
        <w:t>为Ⅰ级水平，</w:t>
      </w:r>
      <w:r>
        <w:rPr>
          <w:rFonts w:hint="default" w:ascii="Times New Roman" w:hAnsi="Times New Roman" w:cs="Times New Roman"/>
          <w:b w:val="0"/>
          <w:bCs w:val="0"/>
          <w:color w:val="auto"/>
          <w:position w:val="-10"/>
          <w:sz w:val="24"/>
          <w:szCs w:val="24"/>
          <w:lang w:val="en-US" w:eastAsia="zh-CN"/>
        </w:rPr>
        <w:object>
          <v:shape id="_x0000_i1042" o:spt="75" type="#_x0000_t75" style="height:17pt;width:13.95pt;" o:ole="t" filled="f" o:preferrelative="t" stroked="f" coordsize="21600,21600">
            <v:path/>
            <v:fill on="f" focussize="0,0"/>
            <v:stroke on="f"/>
            <v:imagedata r:id="rId51" o:title=""/>
            <o:lock v:ext="edit" aspectratio="t"/>
            <w10:wrap type="none"/>
            <w10:anchorlock/>
          </v:shape>
          <o:OLEObject Type="Embed" ProgID="Equation.KSEE3" ShapeID="_x0000_i1042" DrawAspect="Content" ObjectID="_1468075743" r:id="rId50">
            <o:LockedField>false</o:LockedField>
          </o:OLEObject>
        </w:object>
      </w:r>
      <w:r>
        <w:rPr>
          <w:rFonts w:hint="default" w:ascii="Times New Roman" w:hAnsi="Times New Roman" w:cs="Times New Roman"/>
          <w:b w:val="0"/>
          <w:bCs w:val="0"/>
          <w:color w:val="auto"/>
          <w:sz w:val="24"/>
          <w:szCs w:val="24"/>
          <w:lang w:val="en-US" w:eastAsia="zh-CN"/>
        </w:rPr>
        <w:t>为Ⅱ级水平，</w:t>
      </w:r>
      <w:r>
        <w:rPr>
          <w:rFonts w:hint="default" w:ascii="Times New Roman" w:hAnsi="Times New Roman" w:cs="Times New Roman"/>
          <w:b w:val="0"/>
          <w:bCs w:val="0"/>
          <w:color w:val="auto"/>
          <w:position w:val="-12"/>
          <w:sz w:val="24"/>
          <w:szCs w:val="24"/>
          <w:lang w:val="en-US" w:eastAsia="zh-CN"/>
        </w:rPr>
        <w:object>
          <v:shape id="_x0000_i1043" o:spt="75" type="#_x0000_t75" style="height:18pt;width:13.95pt;" o:ole="t" filled="f" o:preferrelative="t" stroked="f" coordsize="21600,21600">
            <v:path/>
            <v:fill on="f" focussize="0,0"/>
            <v:stroke on="f"/>
            <v:imagedata r:id="rId53" o:title=""/>
            <o:lock v:ext="edit" aspectratio="t"/>
            <w10:wrap type="none"/>
            <w10:anchorlock/>
          </v:shape>
          <o:OLEObject Type="Embed" ProgID="Equation.KSEE3" ShapeID="_x0000_i1043" DrawAspect="Content" ObjectID="_1468075744" r:id="rId52">
            <o:LockedField>false</o:LockedField>
          </o:OLEObject>
        </w:object>
      </w:r>
      <w:r>
        <w:rPr>
          <w:rFonts w:hint="default" w:ascii="Times New Roman" w:hAnsi="Times New Roman" w:cs="Times New Roman"/>
          <w:b w:val="0"/>
          <w:bCs w:val="0"/>
          <w:color w:val="auto"/>
          <w:sz w:val="24"/>
          <w:szCs w:val="24"/>
          <w:lang w:val="en-US" w:eastAsia="zh-CN"/>
        </w:rPr>
        <w:t>为Ⅲ级水平；</w:t>
      </w:r>
      <w:r>
        <w:rPr>
          <w:rFonts w:hint="default" w:ascii="Times New Roman" w:hAnsi="Times New Roman" w:cs="Times New Roman"/>
          <w:b w:val="0"/>
          <w:bCs w:val="0"/>
          <w:color w:val="auto"/>
          <w:position w:val="-14"/>
          <w:sz w:val="24"/>
          <w:szCs w:val="24"/>
          <w:lang w:val="en-US" w:eastAsia="zh-CN"/>
        </w:rPr>
        <w:object>
          <v:shape id="_x0000_i1044" o:spt="75" type="#_x0000_t75" style="height:19pt;width:38pt;" o:ole="t" filled="f" o:preferrelative="t" stroked="f" coordsize="21600,21600">
            <v:path/>
            <v:fill on="f" focussize="0,0"/>
            <v:stroke on="f"/>
            <v:imagedata r:id="rId55" o:title=""/>
            <o:lock v:ext="edit" aspectratio="t"/>
            <w10:wrap type="none"/>
            <w10:anchorlock/>
          </v:shape>
          <o:OLEObject Type="Embed" ProgID="Equation.KSEE3" ShapeID="_x0000_i1044" DrawAspect="Content" ObjectID="_1468075745" r:id="rId54">
            <o:LockedField>false</o:LockedField>
          </o:OLEObject>
        </w:object>
      </w:r>
      <w:r>
        <w:rPr>
          <w:rFonts w:hint="default" w:ascii="Times New Roman" w:hAnsi="Times New Roman" w:cs="Times New Roman"/>
          <w:b w:val="0"/>
          <w:bCs w:val="0"/>
          <w:color w:val="auto"/>
          <w:sz w:val="24"/>
          <w:szCs w:val="24"/>
          <w:lang w:val="en-US" w:eastAsia="zh-CN"/>
        </w:rPr>
        <w:t>为二级指标</w:t>
      </w:r>
      <w:r>
        <w:rPr>
          <w:rFonts w:hint="default" w:ascii="Times New Roman" w:hAnsi="Times New Roman" w:cs="Times New Roman"/>
          <w:b w:val="0"/>
          <w:bCs w:val="0"/>
          <w:color w:val="auto"/>
          <w:position w:val="-14"/>
          <w:sz w:val="24"/>
          <w:szCs w:val="24"/>
          <w:lang w:val="en-US" w:eastAsia="zh-CN"/>
        </w:rPr>
        <w:object>
          <v:shape id="_x0000_i1045" o:spt="75" type="#_x0000_t75" style="height:19pt;width:15pt;" o:ole="t" filled="f" o:preferrelative="t" stroked="f" coordsize="21600,21600">
            <v:path/>
            <v:fill on="f" focussize="0,0"/>
            <v:stroke on="f"/>
            <v:imagedata r:id="rId57" o:title=""/>
            <o:lock v:ext="edit" aspectratio="t"/>
            <w10:wrap type="none"/>
            <w10:anchorlock/>
          </v:shape>
          <o:OLEObject Type="Embed" ProgID="Equation.KSEE3" ShapeID="_x0000_i1045" DrawAspect="Content" ObjectID="_1468075746" r:id="rId56">
            <o:LockedField>false</o:LockedField>
          </o:OLEObject>
        </w:object>
      </w:r>
      <w:r>
        <w:rPr>
          <w:rFonts w:hint="default" w:ascii="Times New Roman" w:hAnsi="Times New Roman" w:cs="Times New Roman"/>
          <w:b w:val="0"/>
          <w:bCs w:val="0"/>
          <w:color w:val="auto"/>
          <w:sz w:val="24"/>
          <w:szCs w:val="24"/>
          <w:lang w:val="en-US" w:eastAsia="zh-CN"/>
        </w:rPr>
        <w:t>对于级别</w:t>
      </w:r>
      <w:r>
        <w:rPr>
          <w:rFonts w:hint="default" w:ascii="Times New Roman" w:hAnsi="Times New Roman" w:cs="Times New Roman"/>
          <w:b w:val="0"/>
          <w:bCs w:val="0"/>
          <w:color w:val="auto"/>
          <w:position w:val="-10"/>
          <w:sz w:val="24"/>
          <w:szCs w:val="24"/>
          <w:lang w:val="en-US" w:eastAsia="zh-CN"/>
        </w:rPr>
        <w:object>
          <v:shape id="_x0000_i1046" o:spt="75" type="#_x0000_t75" style="height:17pt;width:13.95pt;" o:ole="t" filled="f" o:preferrelative="t" stroked="f" coordsize="21600,21600">
            <v:path/>
            <v:fill on="f" focussize="0,0"/>
            <v:stroke on="f"/>
            <v:imagedata r:id="rId47" o:title=""/>
            <o:lock v:ext="edit" aspectratio="t"/>
            <w10:wrap type="none"/>
            <w10:anchorlock/>
          </v:shape>
          <o:OLEObject Type="Embed" ProgID="Equation.KSEE3" ShapeID="_x0000_i1046" DrawAspect="Content" ObjectID="_1468075747" r:id="rId58">
            <o:LockedField>false</o:LockedField>
          </o:OLEObject>
        </w:object>
      </w:r>
      <w:r>
        <w:rPr>
          <w:rFonts w:hint="default" w:ascii="Times New Roman" w:hAnsi="Times New Roman" w:cs="Times New Roman"/>
          <w:b w:val="0"/>
          <w:bCs w:val="0"/>
          <w:color w:val="auto"/>
          <w:sz w:val="24"/>
          <w:szCs w:val="24"/>
          <w:lang w:val="en-US" w:eastAsia="zh-CN"/>
        </w:rPr>
        <w:t>的函数。</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如上式所示，若指标</w:t>
      </w:r>
      <w:r>
        <w:rPr>
          <w:rFonts w:hint="default" w:ascii="Times New Roman" w:hAnsi="Times New Roman" w:cs="Times New Roman"/>
          <w:b w:val="0"/>
          <w:bCs w:val="0"/>
          <w:color w:val="auto"/>
          <w:position w:val="-14"/>
          <w:sz w:val="24"/>
          <w:szCs w:val="24"/>
          <w:lang w:val="en-US" w:eastAsia="zh-CN"/>
        </w:rPr>
        <w:object>
          <v:shape id="_x0000_i1047" o:spt="75" type="#_x0000_t75" style="height:19pt;width:15pt;" o:ole="t" filled="f" o:preferrelative="t" stroked="f" coordsize="21600,21600">
            <v:path/>
            <v:fill on="f" focussize="0,0"/>
            <v:stroke on="f"/>
            <v:imagedata r:id="rId57" o:title=""/>
            <o:lock v:ext="edit" aspectratio="t"/>
            <w10:wrap type="none"/>
            <w10:anchorlock/>
          </v:shape>
          <o:OLEObject Type="Embed" ProgID="Equation.KSEE3" ShapeID="_x0000_i1047" DrawAspect="Content" ObjectID="_1468075748" r:id="rId59">
            <o:LockedField>false</o:LockedField>
          </o:OLEObject>
        </w:object>
      </w:r>
      <w:r>
        <w:rPr>
          <w:rFonts w:hint="default" w:ascii="Times New Roman" w:hAnsi="Times New Roman" w:cs="Times New Roman"/>
          <w:b w:val="0"/>
          <w:bCs w:val="0"/>
          <w:color w:val="auto"/>
          <w:sz w:val="24"/>
          <w:szCs w:val="24"/>
          <w:lang w:val="en-US" w:eastAsia="zh-CN"/>
        </w:rPr>
        <w:t>属于级别</w:t>
      </w:r>
      <w:r>
        <w:rPr>
          <w:rFonts w:hint="default" w:ascii="Times New Roman" w:hAnsi="Times New Roman" w:cs="Times New Roman"/>
          <w:b w:val="0"/>
          <w:bCs w:val="0"/>
          <w:color w:val="auto"/>
          <w:position w:val="-10"/>
          <w:sz w:val="24"/>
          <w:szCs w:val="24"/>
          <w:lang w:val="en-US" w:eastAsia="zh-CN"/>
        </w:rPr>
        <w:object>
          <v:shape id="_x0000_i1048" o:spt="75" type="#_x0000_t75" style="height:17pt;width:13.95pt;" o:ole="t" filled="f" o:preferrelative="t" stroked="f" coordsize="21600,21600">
            <v:path/>
            <v:fill on="f" focussize="0,0"/>
            <v:stroke on="f"/>
            <v:imagedata r:id="rId47" o:title=""/>
            <o:lock v:ext="edit" aspectratio="t"/>
            <w10:wrap type="none"/>
            <w10:anchorlock/>
          </v:shape>
          <o:OLEObject Type="Embed" ProgID="Equation.KSEE3" ShapeID="_x0000_i1048" DrawAspect="Content" ObjectID="_1468075749" r:id="rId60">
            <o:LockedField>false</o:LockedField>
          </o:OLEObject>
        </w:object>
      </w:r>
      <w:r>
        <w:rPr>
          <w:rFonts w:hint="default" w:ascii="Times New Roman" w:hAnsi="Times New Roman" w:cs="Times New Roman"/>
          <w:b w:val="0"/>
          <w:bCs w:val="0"/>
          <w:color w:val="auto"/>
          <w:sz w:val="24"/>
          <w:szCs w:val="24"/>
          <w:lang w:val="en-US" w:eastAsia="zh-CN"/>
        </w:rPr>
        <w:t>，则函数的值为100，否则为0。</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通过加权平均、逐层收敛可得到评价对象在不同级别</w:t>
      </w:r>
      <w:r>
        <w:rPr>
          <w:rFonts w:hint="default" w:ascii="Times New Roman" w:hAnsi="Times New Roman" w:cs="Times New Roman"/>
          <w:b w:val="0"/>
          <w:bCs w:val="0"/>
          <w:color w:val="auto"/>
          <w:position w:val="-10"/>
          <w:sz w:val="24"/>
          <w:szCs w:val="24"/>
          <w:lang w:val="en-US" w:eastAsia="zh-CN"/>
        </w:rPr>
        <w:object>
          <v:shape id="_x0000_i1049" o:spt="75" type="#_x0000_t75" style="height:17pt;width:13.95pt;" o:ole="t" filled="f" o:preferrelative="t" stroked="f" coordsize="21600,21600">
            <v:path/>
            <v:fill on="f" focussize="0,0"/>
            <v:stroke on="f"/>
            <v:imagedata r:id="rId47" o:title=""/>
            <o:lock v:ext="edit" aspectratio="t"/>
            <w10:wrap type="none"/>
            <w10:anchorlock/>
          </v:shape>
          <o:OLEObject Type="Embed" ProgID="Equation.KSEE3" ShapeID="_x0000_i1049" DrawAspect="Content" ObjectID="_1468075750" r:id="rId61">
            <o:LockedField>false</o:LockedField>
          </o:OLEObject>
        </w:object>
      </w:r>
      <w:r>
        <w:rPr>
          <w:rFonts w:hint="default" w:ascii="Times New Roman" w:hAnsi="Times New Roman" w:cs="Times New Roman"/>
          <w:b w:val="0"/>
          <w:bCs w:val="0"/>
          <w:color w:val="auto"/>
          <w:sz w:val="24"/>
          <w:szCs w:val="24"/>
          <w:lang w:val="en-US" w:eastAsia="zh-CN"/>
        </w:rPr>
        <w:t>的得分</w:t>
      </w:r>
      <w:r>
        <w:rPr>
          <w:rFonts w:hint="default" w:ascii="Times New Roman" w:hAnsi="Times New Roman" w:cs="Times New Roman"/>
          <w:b w:val="0"/>
          <w:bCs w:val="0"/>
          <w:color w:val="auto"/>
          <w:position w:val="-14"/>
          <w:sz w:val="24"/>
          <w:szCs w:val="24"/>
          <w:lang w:val="en-US" w:eastAsia="zh-CN"/>
        </w:rPr>
        <w:object>
          <v:shape id="_x0000_i1050" o:spt="75" type="#_x0000_t75" style="height:19pt;width:17pt;" o:ole="t" filled="f" o:preferrelative="t" stroked="f" coordsize="21600,21600">
            <v:path/>
            <v:fill on="f" focussize="0,0"/>
            <v:stroke on="f"/>
            <v:imagedata r:id="rId63" o:title=""/>
            <o:lock v:ext="edit" aspectratio="t"/>
            <w10:wrap type="none"/>
            <w10:anchorlock/>
          </v:shape>
          <o:OLEObject Type="Embed" ProgID="Equation.KSEE3" ShapeID="_x0000_i1050" DrawAspect="Content" ObjectID="_1468075751" r:id="rId62">
            <o:LockedField>false</o:LockedField>
          </o:OLEObject>
        </w:object>
      </w:r>
      <w:r>
        <w:rPr>
          <w:rFonts w:hint="default" w:ascii="Times New Roman" w:hAnsi="Times New Roman" w:cs="Times New Roman"/>
          <w:b w:val="0"/>
          <w:bCs w:val="0"/>
          <w:color w:val="auto"/>
          <w:sz w:val="24"/>
          <w:szCs w:val="24"/>
          <w:lang w:val="en-US" w:eastAsia="zh-CN"/>
        </w:rPr>
        <w:t>，如下式所示。</w:t>
      </w:r>
    </w:p>
    <w:p>
      <w:pPr>
        <w:spacing w:line="360" w:lineRule="auto"/>
        <w:ind w:firstLine="42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rPr>
        <w:drawing>
          <wp:inline distT="0" distB="0" distL="114300" distR="114300">
            <wp:extent cx="3088640" cy="841375"/>
            <wp:effectExtent l="0" t="0" r="16510" b="15875"/>
            <wp:docPr id="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4"/>
                    <pic:cNvPicPr>
                      <a:picLocks noChangeAspect="1"/>
                    </pic:cNvPicPr>
                  </pic:nvPicPr>
                  <pic:blipFill>
                    <a:blip r:embed="rId64"/>
                    <a:stretch>
                      <a:fillRect/>
                    </a:stretch>
                  </pic:blipFill>
                  <pic:spPr>
                    <a:xfrm>
                      <a:off x="0" y="0"/>
                      <a:ext cx="3088640" cy="841375"/>
                    </a:xfrm>
                    <a:prstGeom prst="rect">
                      <a:avLst/>
                    </a:prstGeom>
                    <a:noFill/>
                    <a:ln>
                      <a:noFill/>
                    </a:ln>
                  </pic:spPr>
                </pic:pic>
              </a:graphicData>
            </a:graphic>
          </wp:inline>
        </w:drawing>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式中，</w:t>
      </w:r>
      <w:r>
        <w:rPr>
          <w:rFonts w:hint="default" w:ascii="Times New Roman" w:hAnsi="Times New Roman" w:cs="Times New Roman"/>
          <w:b w:val="0"/>
          <w:bCs w:val="0"/>
          <w:color w:val="auto"/>
          <w:position w:val="-10"/>
          <w:sz w:val="24"/>
          <w:szCs w:val="24"/>
          <w:lang w:val="en-US" w:eastAsia="zh-CN"/>
        </w:rPr>
        <w:object>
          <v:shape id="_x0000_i1051" o:spt="75" type="#_x0000_t75" style="height:17pt;width:16pt;" o:ole="t" filled="f" o:preferrelative="t" stroked="f" coordsize="21600,21600">
            <v:path/>
            <v:fill on="f" focussize="0,0"/>
            <v:stroke on="f"/>
            <v:imagedata r:id="rId66" o:title=""/>
            <o:lock v:ext="edit" aspectratio="t"/>
            <w10:wrap type="none"/>
            <w10:anchorlock/>
          </v:shape>
          <o:OLEObject Type="Embed" ProgID="Equation.KSEE3" ShapeID="_x0000_i1051" DrawAspect="Content" ObjectID="_1468075752" r:id="rId65">
            <o:LockedField>false</o:LockedField>
          </o:OLEObject>
        </w:object>
      </w:r>
      <w:r>
        <w:rPr>
          <w:rFonts w:hint="default" w:ascii="Times New Roman" w:hAnsi="Times New Roman" w:cs="Times New Roman"/>
          <w:b w:val="0"/>
          <w:bCs w:val="0"/>
          <w:color w:val="auto"/>
          <w:sz w:val="24"/>
          <w:szCs w:val="24"/>
          <w:lang w:val="en-US" w:eastAsia="zh-CN"/>
        </w:rPr>
        <w:t>为第i个一级指标的权重，</w:t>
      </w:r>
      <w:r>
        <w:rPr>
          <w:rFonts w:hint="default" w:ascii="Times New Roman" w:hAnsi="Times New Roman" w:cs="Times New Roman"/>
          <w:b w:val="0"/>
          <w:bCs w:val="0"/>
          <w:color w:val="auto"/>
          <w:position w:val="-14"/>
          <w:sz w:val="24"/>
          <w:szCs w:val="24"/>
          <w:lang w:val="en-US" w:eastAsia="zh-CN"/>
        </w:rPr>
        <w:object>
          <v:shape id="_x0000_i1052" o:spt="75" type="#_x0000_t75" style="height:19pt;width:15pt;" o:ole="t" filled="f" o:preferrelative="t" stroked="f" coordsize="21600,21600">
            <v:path/>
            <v:fill on="f" focussize="0,0"/>
            <v:stroke on="f"/>
            <v:imagedata r:id="rId68" o:title=""/>
            <o:lock v:ext="edit" aspectratio="t"/>
            <w10:wrap type="none"/>
            <w10:anchorlock/>
          </v:shape>
          <o:OLEObject Type="Embed" ProgID="Equation.KSEE3" ShapeID="_x0000_i1052" DrawAspect="Content" ObjectID="_1468075753" r:id="rId67">
            <o:LockedField>false</o:LockedField>
          </o:OLEObject>
        </w:object>
      </w:r>
      <w:r>
        <w:rPr>
          <w:rFonts w:hint="default" w:ascii="Times New Roman" w:hAnsi="Times New Roman" w:cs="Times New Roman"/>
          <w:b w:val="0"/>
          <w:bCs w:val="0"/>
          <w:color w:val="auto"/>
          <w:sz w:val="24"/>
          <w:szCs w:val="24"/>
          <w:lang w:val="en-US" w:eastAsia="zh-CN"/>
        </w:rPr>
        <w:t>为第i个一级指标下的第j个二级指标的权重，其中</w:t>
      </w:r>
      <w:r>
        <w:rPr>
          <w:rFonts w:hint="default" w:ascii="Times New Roman" w:hAnsi="Times New Roman" w:cs="Times New Roman"/>
          <w:b w:val="0"/>
          <w:bCs w:val="0"/>
          <w:color w:val="auto"/>
          <w:position w:val="-28"/>
          <w:sz w:val="24"/>
          <w:szCs w:val="24"/>
          <w:lang w:val="en-US" w:eastAsia="zh-CN"/>
        </w:rPr>
        <w:object>
          <v:shape id="_x0000_i1053" o:spt="75" type="#_x0000_t75" style="height:34pt;width:47pt;" o:ole="t" filled="f" o:preferrelative="t" stroked="f" coordsize="21600,21600">
            <v:path/>
            <v:fill on="f" focussize="0,0"/>
            <v:stroke on="f"/>
            <v:imagedata r:id="rId70" o:title=""/>
            <o:lock v:ext="edit" aspectratio="t"/>
            <w10:wrap type="none"/>
            <w10:anchorlock/>
          </v:shape>
          <o:OLEObject Type="Embed" ProgID="Equation.KSEE3" ShapeID="_x0000_i1053" DrawAspect="Content" ObjectID="_1468075754" r:id="rId69">
            <o:LockedField>false</o:LockedField>
          </o:OLEObject>
        </w:object>
      </w:r>
      <w:r>
        <w:rPr>
          <w:rFonts w:hint="default"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position w:val="-30"/>
          <w:sz w:val="24"/>
          <w:szCs w:val="24"/>
          <w:lang w:val="en-US" w:eastAsia="zh-CN"/>
        </w:rPr>
        <w:object>
          <v:shape id="_x0000_i1054" o:spt="75" type="#_x0000_t75" style="height:36pt;width:46pt;" o:ole="t" filled="f" o:preferrelative="t" stroked="f" coordsize="21600,21600">
            <v:path/>
            <v:fill on="f" focussize="0,0"/>
            <v:stroke on="f"/>
            <v:imagedata r:id="rId72" o:title=""/>
            <o:lock v:ext="edit" aspectratio="t"/>
            <w10:wrap type="none"/>
            <w10:anchorlock/>
          </v:shape>
          <o:OLEObject Type="Embed" ProgID="Equation.KSEE3" ShapeID="_x0000_i1054" DrawAspect="Content" ObjectID="_1468075755" r:id="rId71">
            <o:LockedField>false</o:LockedField>
          </o:OLEObject>
        </w:object>
      </w:r>
      <w:r>
        <w:rPr>
          <w:rFonts w:hint="default" w:ascii="Times New Roman" w:hAnsi="Times New Roman" w:cs="Times New Roman"/>
          <w:b w:val="0"/>
          <w:bCs w:val="0"/>
          <w:color w:val="auto"/>
          <w:sz w:val="24"/>
          <w:szCs w:val="24"/>
          <w:lang w:val="en-US" w:eastAsia="zh-CN"/>
        </w:rPr>
        <w:t>，m为一级指标的个数；</w:t>
      </w:r>
      <w:r>
        <w:rPr>
          <w:rFonts w:hint="default" w:ascii="Times New Roman" w:hAnsi="Times New Roman" w:cs="Times New Roman"/>
          <w:b w:val="0"/>
          <w:bCs w:val="0"/>
          <w:color w:val="auto"/>
          <w:position w:val="-10"/>
          <w:sz w:val="24"/>
          <w:szCs w:val="24"/>
          <w:lang w:val="en-US" w:eastAsia="zh-CN"/>
        </w:rPr>
        <w:object>
          <v:shape id="_x0000_i1055" o:spt="75" type="#_x0000_t75" style="height:17pt;width:13pt;" o:ole="t" filled="f" o:preferrelative="t" stroked="f" coordsize="21600,21600">
            <v:path/>
            <v:fill on="f" focussize="0,0"/>
            <v:stroke on="f"/>
            <v:imagedata r:id="rId74" o:title=""/>
            <o:lock v:ext="edit" aspectratio="t"/>
            <w10:wrap type="none"/>
            <w10:anchorlock/>
          </v:shape>
          <o:OLEObject Type="Embed" ProgID="Equation.KSEE3" ShapeID="_x0000_i1055" DrawAspect="Content" ObjectID="_1468075756" r:id="rId73">
            <o:LockedField>false</o:LockedField>
          </o:OLEObject>
        </w:object>
      </w:r>
      <w:r>
        <w:rPr>
          <w:rFonts w:hint="default" w:ascii="Times New Roman" w:hAnsi="Times New Roman" w:cs="Times New Roman"/>
          <w:b w:val="0"/>
          <w:bCs w:val="0"/>
          <w:color w:val="auto"/>
          <w:sz w:val="24"/>
          <w:szCs w:val="24"/>
          <w:lang w:val="en-US" w:eastAsia="zh-CN"/>
        </w:rPr>
        <w:t>为第i个一级指标下二级指标的个数。另外，</w:t>
      </w:r>
      <w:r>
        <w:rPr>
          <w:rFonts w:hint="default" w:ascii="Times New Roman" w:hAnsi="Times New Roman" w:cs="Times New Roman"/>
          <w:b w:val="0"/>
          <w:bCs w:val="0"/>
          <w:color w:val="auto"/>
          <w:position w:val="-14"/>
          <w:sz w:val="24"/>
          <w:szCs w:val="24"/>
          <w:lang w:val="en-US" w:eastAsia="zh-CN"/>
        </w:rPr>
        <w:object>
          <v:shape id="_x0000_i1056" o:spt="75" type="#_x0000_t75" style="height:19pt;width:16pt;" o:ole="t" filled="f" o:preferrelative="t" stroked="f" coordsize="21600,21600">
            <v:path/>
            <v:fill on="f" focussize="0,0"/>
            <v:stroke on="f"/>
            <v:imagedata r:id="rId76" o:title=""/>
            <o:lock v:ext="edit" aspectratio="t"/>
            <w10:wrap type="none"/>
            <w10:anchorlock/>
          </v:shape>
          <o:OLEObject Type="Embed" ProgID="Equation.KSEE3" ShapeID="_x0000_i1056" DrawAspect="Content" ObjectID="_1468075757" r:id="rId75">
            <o:LockedField>false</o:LockedField>
          </o:OLEObject>
        </w:object>
      </w:r>
      <w:r>
        <w:rPr>
          <w:rFonts w:hint="default" w:ascii="Times New Roman" w:hAnsi="Times New Roman" w:cs="Times New Roman"/>
          <w:b w:val="0"/>
          <w:bCs w:val="0"/>
          <w:color w:val="auto"/>
          <w:sz w:val="24"/>
          <w:szCs w:val="24"/>
          <w:lang w:val="en-US" w:eastAsia="zh-CN"/>
        </w:rPr>
        <w:t>等同于Y，</w:t>
      </w:r>
      <w:r>
        <w:rPr>
          <w:rFonts w:hint="default" w:ascii="Times New Roman" w:hAnsi="Times New Roman" w:cs="Times New Roman"/>
          <w:b w:val="0"/>
          <w:bCs w:val="0"/>
          <w:color w:val="auto"/>
          <w:position w:val="-14"/>
          <w:sz w:val="24"/>
          <w:szCs w:val="24"/>
          <w:lang w:val="en-US" w:eastAsia="zh-CN"/>
        </w:rPr>
        <w:object>
          <v:shape id="_x0000_i1057" o:spt="75" type="#_x0000_t75" style="height:19pt;width:16pt;" o:ole="t" filled="f" o:preferrelative="t" stroked="f" coordsize="21600,21600">
            <v:path/>
            <v:fill on="f" focussize="0,0"/>
            <v:stroke on="f"/>
            <v:imagedata r:id="rId78" o:title=""/>
            <o:lock v:ext="edit" aspectratio="t"/>
            <w10:wrap type="none"/>
            <w10:anchorlock/>
          </v:shape>
          <o:OLEObject Type="Embed" ProgID="Equation.KSEE3" ShapeID="_x0000_i1057" DrawAspect="Content" ObjectID="_1468075758" r:id="rId77">
            <o:LockedField>false</o:LockedField>
          </o:OLEObject>
        </w:object>
      </w:r>
      <w:r>
        <w:rPr>
          <w:rFonts w:hint="default" w:ascii="Times New Roman" w:hAnsi="Times New Roman" w:cs="Times New Roman"/>
          <w:b w:val="0"/>
          <w:bCs w:val="0"/>
          <w:color w:val="auto"/>
          <w:sz w:val="24"/>
          <w:szCs w:val="24"/>
          <w:lang w:val="en-US" w:eastAsia="zh-CN"/>
        </w:rPr>
        <w:t>等同于Y，</w:t>
      </w:r>
      <w:r>
        <w:rPr>
          <w:rFonts w:hint="default" w:ascii="Times New Roman" w:hAnsi="Times New Roman" w:cs="Times New Roman"/>
          <w:b w:val="0"/>
          <w:bCs w:val="0"/>
          <w:color w:val="auto"/>
          <w:position w:val="-14"/>
          <w:sz w:val="24"/>
          <w:szCs w:val="24"/>
          <w:lang w:val="en-US" w:eastAsia="zh-CN"/>
        </w:rPr>
        <w:object>
          <v:shape id="_x0000_i1058" o:spt="75" type="#_x0000_t75" style="height:19pt;width:16pt;" o:ole="t" filled="f" o:preferrelative="t" stroked="f" coordsize="21600,21600">
            <v:path/>
            <v:fill on="f" focussize="0,0"/>
            <v:stroke on="f"/>
            <v:imagedata r:id="rId80" o:title=""/>
            <o:lock v:ext="edit" aspectratio="t"/>
            <w10:wrap type="none"/>
            <w10:anchorlock/>
          </v:shape>
          <o:OLEObject Type="Embed" ProgID="Equation.KSEE3" ShapeID="_x0000_i1058" DrawAspect="Content" ObjectID="_1468075759" r:id="rId79">
            <o:LockedField>false</o:LockedField>
          </o:OLEObject>
        </w:object>
      </w:r>
      <w:r>
        <w:rPr>
          <w:rFonts w:hint="default" w:ascii="Times New Roman" w:hAnsi="Times New Roman" w:cs="Times New Roman"/>
          <w:b w:val="0"/>
          <w:bCs w:val="0"/>
          <w:color w:val="auto"/>
          <w:sz w:val="24"/>
          <w:szCs w:val="24"/>
          <w:lang w:val="en-US" w:eastAsia="zh-CN"/>
        </w:rPr>
        <w:t>等同于Y。</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3.3.2 电镀行业清洁生产企业的评定</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根据综合评价指数，确定清洁生产水平等级。对电镀企业清洁生产水平的评价，是以其清洁生产综合评价指数为依据的，对达到一定综合评价指数的企业，分别评定为清洁生产领先企业、清洁生产先进企业或清洁生产一般企业。根据目前我国电镀行业的实际情况，不同等级的清洁生产企业的综合评价指数列于表3-13。</w:t>
      </w:r>
    </w:p>
    <w:p>
      <w:pPr>
        <w:spacing w:line="360" w:lineRule="auto"/>
        <w:ind w:firstLine="480" w:firstLineChars="200"/>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val="en-US" w:eastAsia="zh-CN"/>
        </w:rPr>
        <w:t>表3-13   电镀行业不同等级清洁生产企业综合评价指数</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19"/>
        <w:gridCol w:w="550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企业清洁生产水平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评定条件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Ⅰ级（国际清洁生产领先水平）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同时满足：Y</w:t>
            </w:r>
            <w:r>
              <w:rPr>
                <w:rFonts w:hint="default" w:ascii="Times New Roman" w:hAnsi="Times New Roman" w:eastAsia="宋体" w:cs="Times New Roman"/>
                <w:b w:val="0"/>
                <w:bCs w:val="0"/>
                <w:color w:val="auto"/>
                <w:sz w:val="21"/>
                <w:szCs w:val="21"/>
                <w:vertAlign w:val="subscript"/>
                <w:lang w:val="en-US" w:eastAsia="zh-CN"/>
              </w:rPr>
              <w:t>Ⅰ</w:t>
            </w:r>
            <w:r>
              <w:rPr>
                <w:rFonts w:hint="default" w:ascii="Times New Roman" w:hAnsi="Times New Roman" w:eastAsia="宋体" w:cs="Times New Roman"/>
                <w:b w:val="0"/>
                <w:bCs w:val="0"/>
                <w:color w:val="auto"/>
                <w:sz w:val="21"/>
                <w:szCs w:val="21"/>
                <w:vertAlign w:val="baseline"/>
                <w:lang w:val="en-US" w:eastAsia="zh-CN"/>
              </w:rPr>
              <w:t>≥85；限定性指标全部满足Ⅰ级基准值要求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Ⅱ级（国内清洁生产先进水平）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同时满足：Y</w:t>
            </w:r>
            <w:r>
              <w:rPr>
                <w:rFonts w:hint="default" w:ascii="Times New Roman" w:hAnsi="Times New Roman" w:eastAsia="宋体" w:cs="Times New Roman"/>
                <w:b w:val="0"/>
                <w:bCs w:val="0"/>
                <w:color w:val="auto"/>
                <w:sz w:val="21"/>
                <w:szCs w:val="21"/>
                <w:vertAlign w:val="subscript"/>
                <w:lang w:val="en-US" w:eastAsia="zh-CN"/>
              </w:rPr>
              <w:t>Ⅱ</w:t>
            </w:r>
            <w:r>
              <w:rPr>
                <w:rFonts w:hint="default" w:ascii="Times New Roman" w:hAnsi="Times New Roman" w:eastAsia="宋体" w:cs="Times New Roman"/>
                <w:b w:val="0"/>
                <w:bCs w:val="0"/>
                <w:color w:val="auto"/>
                <w:sz w:val="21"/>
                <w:szCs w:val="21"/>
                <w:vertAlign w:val="baseline"/>
                <w:lang w:val="en-US" w:eastAsia="zh-CN"/>
              </w:rPr>
              <w:t>≥85；限定性指标全部满足Ⅱ级基准值要求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Ⅲ级（国内清洁生产一般水平）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Y</w:t>
            </w:r>
            <w:r>
              <w:rPr>
                <w:rFonts w:hint="default" w:ascii="Times New Roman" w:hAnsi="Times New Roman" w:eastAsia="宋体" w:cs="Times New Roman"/>
                <w:b w:val="0"/>
                <w:bCs w:val="0"/>
                <w:color w:val="auto"/>
                <w:sz w:val="21"/>
                <w:szCs w:val="21"/>
                <w:vertAlign w:val="subscript"/>
                <w:lang w:val="en-US" w:eastAsia="zh-CN"/>
              </w:rPr>
              <w:t>Ⅲ</w:t>
            </w:r>
            <w:r>
              <w:rPr>
                <w:rFonts w:hint="default" w:ascii="Times New Roman" w:hAnsi="Times New Roman" w:eastAsia="宋体" w:cs="Times New Roman"/>
                <w:b w:val="0"/>
                <w:bCs w:val="0"/>
                <w:color w:val="auto"/>
                <w:sz w:val="21"/>
                <w:szCs w:val="21"/>
                <w:vertAlign w:val="baseline"/>
                <w:lang w:val="en-US" w:eastAsia="zh-CN"/>
              </w:rPr>
              <w:t>=100</w:t>
            </w:r>
          </w:p>
        </w:tc>
      </w:tr>
    </w:tbl>
    <w:p>
      <w:pPr>
        <w:spacing w:line="360" w:lineRule="auto"/>
        <w:ind w:firstLine="480" w:firstLineChars="200"/>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根据电镀行业清洁生产评价体系中相应指标权重加权核算，项目现状评价指数Y</w:t>
      </w:r>
      <w:r>
        <w:rPr>
          <w:rFonts w:hint="default" w:ascii="Times New Roman" w:hAnsi="Times New Roman" w:cs="Times New Roman"/>
          <w:b w:val="0"/>
          <w:bCs w:val="0"/>
          <w:color w:val="auto"/>
          <w:sz w:val="24"/>
          <w:szCs w:val="24"/>
          <w:u w:val="single"/>
          <w:vertAlign w:val="subscript"/>
          <w:lang w:val="en-US" w:eastAsia="zh-CN"/>
        </w:rPr>
        <w:t>Ⅰ</w:t>
      </w:r>
      <w:r>
        <w:rPr>
          <w:rFonts w:hint="default" w:ascii="Times New Roman" w:hAnsi="Times New Roman" w:cs="Times New Roman"/>
          <w:b w:val="0"/>
          <w:bCs w:val="0"/>
          <w:color w:val="auto"/>
          <w:sz w:val="24"/>
          <w:szCs w:val="24"/>
          <w:u w:val="single"/>
          <w:lang w:val="en-US" w:eastAsia="zh-CN"/>
        </w:rPr>
        <w:t>=</w:t>
      </w:r>
      <w:r>
        <w:rPr>
          <w:rFonts w:hint="eastAsia" w:ascii="Times New Roman" w:hAnsi="Times New Roman" w:cs="Times New Roman"/>
          <w:b w:val="0"/>
          <w:bCs w:val="0"/>
          <w:color w:val="auto"/>
          <w:sz w:val="24"/>
          <w:szCs w:val="24"/>
          <w:u w:val="single"/>
          <w:lang w:val="en-US" w:eastAsia="zh-CN"/>
        </w:rPr>
        <w:t>50.55</w:t>
      </w:r>
      <w:r>
        <w:rPr>
          <w:rFonts w:hint="default" w:ascii="Times New Roman" w:hAnsi="Times New Roman" w:cs="Times New Roman"/>
          <w:b w:val="0"/>
          <w:bCs w:val="0"/>
          <w:color w:val="auto"/>
          <w:sz w:val="24"/>
          <w:szCs w:val="24"/>
          <w:u w:val="single"/>
          <w:lang w:val="en-US" w:eastAsia="zh-CN"/>
        </w:rPr>
        <w:t>；Y</w:t>
      </w:r>
      <w:r>
        <w:rPr>
          <w:rFonts w:hint="default" w:ascii="Times New Roman" w:hAnsi="Times New Roman" w:cs="Times New Roman"/>
          <w:b w:val="0"/>
          <w:bCs w:val="0"/>
          <w:color w:val="auto"/>
          <w:sz w:val="24"/>
          <w:szCs w:val="24"/>
          <w:u w:val="single"/>
          <w:vertAlign w:val="subscript"/>
          <w:lang w:val="en-US" w:eastAsia="zh-CN"/>
        </w:rPr>
        <w:t>Ⅱ</w:t>
      </w:r>
      <w:r>
        <w:rPr>
          <w:rFonts w:hint="default" w:ascii="Times New Roman" w:hAnsi="Times New Roman" w:cs="Times New Roman"/>
          <w:b w:val="0"/>
          <w:bCs w:val="0"/>
          <w:color w:val="auto"/>
          <w:sz w:val="24"/>
          <w:szCs w:val="24"/>
          <w:u w:val="single"/>
          <w:lang w:val="en-US" w:eastAsia="zh-CN"/>
        </w:rPr>
        <w:t>=</w:t>
      </w:r>
      <w:r>
        <w:rPr>
          <w:rFonts w:hint="eastAsia" w:ascii="Times New Roman" w:hAnsi="Times New Roman" w:cs="Times New Roman"/>
          <w:b w:val="0"/>
          <w:bCs w:val="0"/>
          <w:color w:val="auto"/>
          <w:sz w:val="24"/>
          <w:szCs w:val="24"/>
          <w:u w:val="single"/>
          <w:lang w:val="en-US" w:eastAsia="zh-CN"/>
        </w:rPr>
        <w:t>78.5</w:t>
      </w:r>
      <w:r>
        <w:rPr>
          <w:rFonts w:hint="default" w:ascii="Times New Roman" w:hAnsi="Times New Roman" w:cs="Times New Roman"/>
          <w:b w:val="0"/>
          <w:bCs w:val="0"/>
          <w:color w:val="auto"/>
          <w:sz w:val="24"/>
          <w:szCs w:val="24"/>
          <w:u w:val="single"/>
          <w:lang w:val="en-US" w:eastAsia="zh-CN"/>
        </w:rPr>
        <w:t>；Y</w:t>
      </w:r>
      <w:r>
        <w:rPr>
          <w:rFonts w:hint="default" w:ascii="Times New Roman" w:hAnsi="Times New Roman" w:cs="Times New Roman"/>
          <w:b w:val="0"/>
          <w:bCs w:val="0"/>
          <w:color w:val="auto"/>
          <w:sz w:val="24"/>
          <w:szCs w:val="24"/>
          <w:u w:val="single"/>
          <w:vertAlign w:val="subscript"/>
          <w:lang w:val="en-US" w:eastAsia="zh-CN"/>
        </w:rPr>
        <w:t>Ⅲ</w:t>
      </w:r>
      <w:r>
        <w:rPr>
          <w:rFonts w:hint="default" w:ascii="Times New Roman" w:hAnsi="Times New Roman" w:cs="Times New Roman"/>
          <w:b w:val="0"/>
          <w:bCs w:val="0"/>
          <w:color w:val="auto"/>
          <w:sz w:val="24"/>
          <w:szCs w:val="24"/>
          <w:u w:val="single"/>
          <w:lang w:val="en-US" w:eastAsia="zh-CN"/>
        </w:rPr>
        <w:t>=</w:t>
      </w:r>
      <w:r>
        <w:rPr>
          <w:rFonts w:hint="eastAsia" w:ascii="Times New Roman" w:hAnsi="Times New Roman" w:cs="Times New Roman"/>
          <w:b w:val="0"/>
          <w:bCs w:val="0"/>
          <w:color w:val="auto"/>
          <w:sz w:val="24"/>
          <w:szCs w:val="24"/>
          <w:u w:val="single"/>
          <w:lang w:val="en-US" w:eastAsia="zh-CN"/>
        </w:rPr>
        <w:t>90.1</w:t>
      </w:r>
      <w:r>
        <w:rPr>
          <w:rFonts w:hint="default" w:ascii="Times New Roman" w:hAnsi="Times New Roman" w:cs="Times New Roman"/>
          <w:b w:val="0"/>
          <w:bCs w:val="0"/>
          <w:color w:val="auto"/>
          <w:sz w:val="24"/>
          <w:szCs w:val="24"/>
          <w:u w:val="single"/>
          <w:lang w:val="en-US" w:eastAsia="zh-CN"/>
        </w:rPr>
        <w:t xml:space="preserve">。 </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u w:val="single"/>
          <w:lang w:val="en-US" w:eastAsia="zh-CN"/>
        </w:rPr>
        <w:t>经对比分析，本项目Y</w:t>
      </w:r>
      <w:r>
        <w:rPr>
          <w:rFonts w:hint="default" w:ascii="Times New Roman" w:hAnsi="Times New Roman" w:cs="Times New Roman"/>
          <w:b w:val="0"/>
          <w:bCs w:val="0"/>
          <w:color w:val="auto"/>
          <w:sz w:val="24"/>
          <w:szCs w:val="24"/>
          <w:u w:val="single"/>
          <w:vertAlign w:val="subscript"/>
          <w:lang w:val="en-US" w:eastAsia="zh-CN"/>
        </w:rPr>
        <w:t>Ⅲ</w:t>
      </w:r>
      <w:r>
        <w:rPr>
          <w:rFonts w:hint="default" w:ascii="Times New Roman" w:hAnsi="Times New Roman" w:cs="Times New Roman"/>
          <w:b w:val="0"/>
          <w:bCs w:val="0"/>
          <w:color w:val="auto"/>
          <w:sz w:val="24"/>
          <w:szCs w:val="24"/>
          <w:u w:val="single"/>
          <w:lang w:val="en-US" w:eastAsia="zh-CN"/>
        </w:rPr>
        <w:t>＜100；因此，本项目清洁生产水平低于国内清洁生产一般水平。</w:t>
      </w:r>
    </w:p>
    <w:p>
      <w:pPr>
        <w:pStyle w:val="5"/>
        <w:bidi w:val="0"/>
        <w:rPr>
          <w:rFonts w:hint="default" w:ascii="Times New Roman" w:hAnsi="Times New Roman" w:cs="Times New Roman"/>
          <w:lang w:eastAsia="zh-CN"/>
        </w:rPr>
      </w:pPr>
      <w:bookmarkStart w:id="98" w:name="_Toc20106"/>
      <w:r>
        <w:rPr>
          <w:rFonts w:hint="default" w:ascii="Times New Roman" w:hAnsi="Times New Roman" w:cs="Times New Roman"/>
          <w:lang w:eastAsia="zh-CN"/>
        </w:rPr>
        <w:t>3.</w:t>
      </w:r>
      <w:r>
        <w:rPr>
          <w:rFonts w:hint="default" w:ascii="Times New Roman" w:hAnsi="Times New Roman" w:cs="Times New Roman"/>
          <w:lang w:val="en-US" w:eastAsia="zh-CN"/>
        </w:rPr>
        <w:t>4</w:t>
      </w:r>
      <w:r>
        <w:rPr>
          <w:rFonts w:hint="default" w:ascii="Times New Roman" w:hAnsi="Times New Roman" w:cs="Times New Roman"/>
          <w:lang w:eastAsia="zh-CN"/>
        </w:rPr>
        <w:t>确定审核重点</w:t>
      </w:r>
      <w:bookmarkEnd w:id="98"/>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3.4.1 确定备选审核重点的原则</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（1）企业污染物产生量大、排放量大的环节；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（2）资源、能源消耗量大的环节；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（3）严重影响或威胁正常生产，构成生产“瓶颈”的环节；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（4）一旦采取措施容易产生显著环境效益和经济效益的环节；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（5）在区域环境质量改善中起重大作用的环节。</w:t>
      </w:r>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3.4.2 确定备选审核重点</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按照审核过程中关注污染重、消耗大、潜力大的环节、突出重点的审核原则，结合企业实际情况，审核小组召集厂内技术人员，会同企业总经理，共同探讨，针对现状调研和现场考察发现的突出问题，结合国家目前政策要求，讨论确定本轮清洁生产审核的备选审核重点，会议一致认为：根据各产品的生产工艺及生产方式，结合现状调研和现场考察所得出的企业清洁生产水平现状，针对清洁生产指标中存在的突出问题，有选择性地在本轮清洁生产审核过程中深入调查，分析指标清洁生产水平较低原因，提出解决办法，逐一攻克，切实实现清洁生产审核节能、降耗、减污、增效的目的。各与会人员认真分析讨论了各备选审核重点的情况，对各备选审核重点在对环境影响大小、原辅料消耗、清洁生产机会、投资费用、外部环保要求等五个方面进行了认真对比，按照权重计分排序法对审核重点进行打分评定，并结合企业发展规划，进行权重计分评定。见下表。</w:t>
      </w:r>
    </w:p>
    <w:p>
      <w:pPr>
        <w:spacing w:line="360" w:lineRule="auto"/>
        <w:jc w:val="center"/>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表3-1</w:t>
      </w:r>
      <w:r>
        <w:rPr>
          <w:rFonts w:hint="default" w:ascii="Times New Roman" w:hAnsi="Times New Roman" w:cs="Times New Roman"/>
          <w:b w:val="0"/>
          <w:bCs w:val="0"/>
          <w:color w:val="auto"/>
          <w:sz w:val="24"/>
          <w:szCs w:val="24"/>
          <w:lang w:val="en-US" w:eastAsia="zh-CN"/>
        </w:rPr>
        <w:t>4</w:t>
      </w:r>
      <w:r>
        <w:rPr>
          <w:rFonts w:hint="default" w:ascii="Times New Roman" w:hAnsi="Times New Roman" w:cs="Times New Roman"/>
          <w:b w:val="0"/>
          <w:bCs w:val="0"/>
          <w:color w:val="auto"/>
          <w:sz w:val="24"/>
          <w:szCs w:val="24"/>
          <w:lang w:eastAsia="zh-CN"/>
        </w:rPr>
        <w:t xml:space="preserve">  确定审核重点表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8"/>
        <w:gridCol w:w="735"/>
        <w:gridCol w:w="648"/>
        <w:gridCol w:w="607"/>
        <w:gridCol w:w="710"/>
        <w:gridCol w:w="710"/>
        <w:gridCol w:w="710"/>
        <w:gridCol w:w="710"/>
        <w:gridCol w:w="711"/>
        <w:gridCol w:w="711"/>
        <w:gridCol w:w="711"/>
        <w:gridCol w:w="71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水平因素</w:t>
            </w:r>
          </w:p>
        </w:tc>
        <w:tc>
          <w:tcPr>
            <w:tcW w:w="63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eastAsia="zh-CN"/>
              </w:rPr>
              <w:t>权重值</w:t>
            </w:r>
            <w:r>
              <w:rPr>
                <w:rFonts w:hint="default" w:ascii="Times New Roman" w:hAnsi="Times New Roman" w:eastAsia="宋体" w:cs="Times New Roman"/>
                <w:b w:val="0"/>
                <w:bCs w:val="0"/>
                <w:color w:val="auto"/>
                <w:sz w:val="21"/>
                <w:szCs w:val="21"/>
                <w:vertAlign w:val="baseline"/>
                <w:lang w:val="en-US" w:eastAsia="zh-CN"/>
              </w:rPr>
              <w:t>W（1-10）</w:t>
            </w:r>
          </w:p>
        </w:tc>
        <w:tc>
          <w:tcPr>
            <w:tcW w:w="5943" w:type="dxa"/>
            <w:gridSpan w:val="10"/>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备选审核重点得分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63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1075"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电镀车间</w:t>
            </w:r>
          </w:p>
        </w:tc>
        <w:tc>
          <w:tcPr>
            <w:tcW w:w="1216" w:type="dxa"/>
            <w:gridSpan w:val="2"/>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污水处理</w:t>
            </w:r>
            <w:r>
              <w:rPr>
                <w:rFonts w:hint="default" w:ascii="Times New Roman" w:hAnsi="Times New Roman" w:eastAsia="宋体" w:cs="Times New Roman"/>
                <w:sz w:val="21"/>
                <w:szCs w:val="21"/>
                <w:lang w:eastAsia="zh-CN"/>
              </w:rPr>
              <w:t>站</w:t>
            </w:r>
          </w:p>
        </w:tc>
        <w:tc>
          <w:tcPr>
            <w:tcW w:w="1216" w:type="dxa"/>
            <w:gridSpan w:val="2"/>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办公区</w:t>
            </w:r>
          </w:p>
        </w:tc>
        <w:tc>
          <w:tcPr>
            <w:tcW w:w="1218" w:type="dxa"/>
            <w:gridSpan w:val="2"/>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冲制车间</w:t>
            </w:r>
          </w:p>
        </w:tc>
        <w:tc>
          <w:tcPr>
            <w:tcW w:w="1218" w:type="dxa"/>
            <w:gridSpan w:val="2"/>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包装车间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63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5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R（1-10）</w:t>
            </w:r>
          </w:p>
        </w:tc>
        <w:tc>
          <w:tcPr>
            <w:tcW w:w="5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R×W</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R（1-10）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R×W</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R（1-10）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R×W</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R（1-10）</w:t>
            </w:r>
          </w:p>
        </w:tc>
        <w:tc>
          <w:tcPr>
            <w:tcW w:w="609" w:type="dxa"/>
            <w:tcBorders>
              <w:tl2br w:val="nil"/>
              <w:tr2bl w:val="nil"/>
            </w:tcBorders>
            <w:vAlign w:val="center"/>
          </w:tcPr>
          <w:p>
            <w:pPr>
              <w:spacing w:line="240" w:lineRule="auto"/>
              <w:jc w:val="center"/>
              <w:rPr>
                <w:rFonts w:hint="default" w:ascii="Times New Roman" w:hAnsi="Times New Roman" w:cs="Times New Roman"/>
              </w:rPr>
            </w:pPr>
            <w:r>
              <w:rPr>
                <w:rFonts w:hint="default" w:ascii="Times New Roman" w:hAnsi="Times New Roman" w:eastAsia="宋体" w:cs="Times New Roman"/>
                <w:b w:val="0"/>
                <w:bCs w:val="0"/>
                <w:color w:val="auto"/>
                <w:sz w:val="21"/>
                <w:szCs w:val="21"/>
                <w:vertAlign w:val="baseline"/>
                <w:lang w:val="en-US" w:eastAsia="zh-CN"/>
              </w:rPr>
              <w:t>R×W</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R（1-10）</w:t>
            </w:r>
          </w:p>
        </w:tc>
        <w:tc>
          <w:tcPr>
            <w:tcW w:w="609" w:type="dxa"/>
            <w:tcBorders>
              <w:tl2br w:val="nil"/>
              <w:tr2bl w:val="nil"/>
            </w:tcBorders>
            <w:vAlign w:val="center"/>
          </w:tcPr>
          <w:p>
            <w:pPr>
              <w:spacing w:line="240" w:lineRule="auto"/>
              <w:jc w:val="center"/>
              <w:rPr>
                <w:rFonts w:hint="default" w:ascii="Times New Roman" w:hAnsi="Times New Roman" w:cs="Times New Roman"/>
              </w:rPr>
            </w:pPr>
            <w:r>
              <w:rPr>
                <w:rFonts w:hint="default" w:ascii="Times New Roman" w:hAnsi="Times New Roman" w:eastAsia="宋体" w:cs="Times New Roman"/>
                <w:b w:val="0"/>
                <w:bCs w:val="0"/>
                <w:color w:val="auto"/>
                <w:sz w:val="21"/>
                <w:szCs w:val="21"/>
                <w:vertAlign w:val="baseline"/>
                <w:lang w:val="en-US" w:eastAsia="zh-CN"/>
              </w:rPr>
              <w:t>R×W</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环境影响</w:t>
            </w:r>
          </w:p>
        </w:tc>
        <w:tc>
          <w:tcPr>
            <w:tcW w:w="63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5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5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60</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主要消耗</w:t>
            </w:r>
          </w:p>
        </w:tc>
        <w:tc>
          <w:tcPr>
            <w:tcW w:w="63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5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5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60</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清洁生产机会</w:t>
            </w:r>
          </w:p>
        </w:tc>
        <w:tc>
          <w:tcPr>
            <w:tcW w:w="63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5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5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50</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投资费用</w:t>
            </w:r>
          </w:p>
        </w:tc>
        <w:tc>
          <w:tcPr>
            <w:tcW w:w="63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5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5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20</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外部环保要求</w:t>
            </w:r>
          </w:p>
        </w:tc>
        <w:tc>
          <w:tcPr>
            <w:tcW w:w="63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5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5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16</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6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20</w:t>
            </w:r>
          </w:p>
        </w:tc>
        <w:tc>
          <w:tcPr>
            <w:tcW w:w="6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609" w:type="dxa"/>
            <w:tcBorders>
              <w:tl2br w:val="nil"/>
              <w:tr2bl w:val="nil"/>
            </w:tcBorders>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7"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总分</w:t>
            </w:r>
            <w:r>
              <w:rPr>
                <w:rFonts w:hint="default" w:ascii="Times New Roman" w:hAnsi="Times New Roman" w:eastAsia="宋体" w:cs="Times New Roman"/>
                <w:b w:val="0"/>
                <w:bCs w:val="0"/>
                <w:color w:val="auto"/>
                <w:sz w:val="21"/>
                <w:szCs w:val="21"/>
                <w:vertAlign w:val="baseline"/>
                <w:lang w:val="en-US" w:eastAsia="zh-CN"/>
              </w:rPr>
              <w:t>=</w:t>
            </w:r>
            <w:r>
              <w:rPr>
                <w:rFonts w:hint="default" w:ascii="Times New Roman" w:hAnsi="Times New Roman" w:eastAsia="宋体" w:cs="Times New Roman"/>
                <w:b w:val="0"/>
                <w:bCs w:val="0"/>
                <w:color w:val="auto"/>
                <w:position w:val="-14"/>
                <w:sz w:val="21"/>
                <w:szCs w:val="21"/>
                <w:vertAlign w:val="baseline"/>
                <w:lang w:val="en-US" w:eastAsia="zh-CN"/>
              </w:rPr>
              <w:object>
                <v:shape id="_x0000_i1059" o:spt="75" type="#_x0000_t75" style="height:20pt;width:46pt;" o:ole="t" filled="f" o:preferrelative="t" stroked="f" coordsize="21600,21600">
                  <v:path/>
                  <v:fill on="f" focussize="0,0"/>
                  <v:stroke on="f"/>
                  <v:imagedata r:id="rId82" o:title=""/>
                  <o:lock v:ext="edit" aspectratio="t"/>
                  <w10:wrap type="none"/>
                  <w10:anchorlock/>
                </v:shape>
                <o:OLEObject Type="Embed" ProgID="Equation.KSEE3" ShapeID="_x0000_i1059" DrawAspect="Content" ObjectID="_1468075760" r:id="rId81">
                  <o:LockedField>false</o:LockedField>
                </o:OLEObject>
              </w:object>
            </w:r>
          </w:p>
        </w:tc>
        <w:tc>
          <w:tcPr>
            <w:tcW w:w="1075"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308</w:t>
            </w:r>
          </w:p>
        </w:tc>
        <w:tc>
          <w:tcPr>
            <w:tcW w:w="121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206</w:t>
            </w:r>
          </w:p>
        </w:tc>
        <w:tc>
          <w:tcPr>
            <w:tcW w:w="121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98</w:t>
            </w:r>
          </w:p>
        </w:tc>
        <w:tc>
          <w:tcPr>
            <w:tcW w:w="121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210</w:t>
            </w:r>
          </w:p>
        </w:tc>
        <w:tc>
          <w:tcPr>
            <w:tcW w:w="121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7"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排序</w:t>
            </w:r>
          </w:p>
        </w:tc>
        <w:tc>
          <w:tcPr>
            <w:tcW w:w="1075"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1</w:t>
            </w:r>
          </w:p>
        </w:tc>
        <w:tc>
          <w:tcPr>
            <w:tcW w:w="121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1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5</w:t>
            </w:r>
          </w:p>
        </w:tc>
        <w:tc>
          <w:tcPr>
            <w:tcW w:w="121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w:t>
            </w:r>
          </w:p>
        </w:tc>
        <w:tc>
          <w:tcPr>
            <w:tcW w:w="121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4</w:t>
            </w:r>
          </w:p>
        </w:tc>
      </w:tr>
    </w:tbl>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根据上表可知，本项目电镀车间得分较高，结合地方环保的要求和行业专家的建议，最终将电镀车间及附属污水处理站作为本轮清洁生产审核重点。</w:t>
      </w:r>
    </w:p>
    <w:p>
      <w:pPr>
        <w:pStyle w:val="5"/>
        <w:bidi w:val="0"/>
        <w:rPr>
          <w:rFonts w:hint="default" w:ascii="Times New Roman" w:hAnsi="Times New Roman" w:cs="Times New Roman"/>
          <w:lang w:eastAsia="zh-CN"/>
        </w:rPr>
      </w:pPr>
      <w:bookmarkStart w:id="99" w:name="_Toc20509"/>
      <w:r>
        <w:rPr>
          <w:rFonts w:hint="default" w:ascii="Times New Roman" w:hAnsi="Times New Roman" w:cs="Times New Roman"/>
          <w:lang w:eastAsia="zh-CN"/>
        </w:rPr>
        <w:t>3.</w:t>
      </w:r>
      <w:r>
        <w:rPr>
          <w:rFonts w:hint="default" w:ascii="Times New Roman" w:hAnsi="Times New Roman" w:cs="Times New Roman"/>
          <w:lang w:val="en-US" w:eastAsia="zh-CN"/>
        </w:rPr>
        <w:t>5</w:t>
      </w:r>
      <w:r>
        <w:rPr>
          <w:rFonts w:hint="default" w:ascii="Times New Roman" w:hAnsi="Times New Roman" w:cs="Times New Roman"/>
          <w:lang w:eastAsia="zh-CN"/>
        </w:rPr>
        <w:t xml:space="preserve"> 设置清洁生产目标</w:t>
      </w:r>
      <w:bookmarkEnd w:id="99"/>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确定本轮清洁生产审核重点和评定清洁生产水平之后，为了推动企业清洁生产审核工作，公司清洁生产审核小组根据企业现有生产水平和技术能力，按照上述原则，考虑企业长远发展所要达到的水平和能力，从先进性、可达性、国家产业政策和环保要求、经济效益明显等因素出发，针对审核重点制定了本轮清洁生产的近期和远期目标，见下表。</w:t>
      </w:r>
    </w:p>
    <w:p>
      <w:pPr>
        <w:spacing w:line="360" w:lineRule="auto"/>
        <w:jc w:val="center"/>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eastAsia="zh-CN"/>
        </w:rPr>
        <w:t>-1</w:t>
      </w:r>
      <w:r>
        <w:rPr>
          <w:rFonts w:hint="default" w:ascii="Times New Roman" w:hAnsi="Times New Roman" w:cs="Times New Roman"/>
          <w:b w:val="0"/>
          <w:bCs w:val="0"/>
          <w:color w:val="auto"/>
          <w:sz w:val="24"/>
          <w:szCs w:val="24"/>
          <w:lang w:val="en-US" w:eastAsia="zh-CN"/>
        </w:rPr>
        <w:t>7</w:t>
      </w:r>
      <w:r>
        <w:rPr>
          <w:rFonts w:hint="default" w:ascii="Times New Roman" w:hAnsi="Times New Roman" w:cs="Times New Roman"/>
          <w:b w:val="0"/>
          <w:bCs w:val="0"/>
          <w:color w:val="auto"/>
          <w:sz w:val="24"/>
          <w:szCs w:val="24"/>
          <w:lang w:eastAsia="zh-CN"/>
        </w:rPr>
        <w:t xml:space="preserve">  清</w:t>
      </w:r>
      <w:r>
        <w:rPr>
          <w:rFonts w:hint="default" w:ascii="Times New Roman" w:hAnsi="Times New Roman" w:cs="Times New Roman"/>
          <w:b w:val="0"/>
          <w:bCs w:val="0"/>
          <w:color w:val="000000" w:themeColor="text1"/>
          <w:sz w:val="24"/>
          <w:szCs w:val="24"/>
          <w:lang w:eastAsia="zh-CN"/>
          <w14:textFill>
            <w14:solidFill>
              <w14:schemeClr w14:val="tx1"/>
            </w14:solidFill>
          </w14:textFill>
        </w:rPr>
        <w:t>洁生产目标一览表</w:t>
      </w:r>
    </w:p>
    <w:tbl>
      <w:tblPr>
        <w:tblStyle w:val="2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972"/>
        <w:gridCol w:w="1341"/>
        <w:gridCol w:w="1189"/>
        <w:gridCol w:w="1279"/>
        <w:gridCol w:w="1128"/>
        <w:gridCol w:w="126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6"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bookmarkStart w:id="100" w:name="_Toc18730"/>
            <w:r>
              <w:rPr>
                <w:rFonts w:hint="default" w:ascii="Times New Roman" w:hAnsi="Times New Roman" w:eastAsia="宋体" w:cs="Times New Roman"/>
                <w:color w:val="auto"/>
                <w:sz w:val="21"/>
                <w:szCs w:val="21"/>
              </w:rPr>
              <w:t>项目</w:t>
            </w:r>
          </w:p>
        </w:tc>
        <w:tc>
          <w:tcPr>
            <w:tcW w:w="972"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单位</w:t>
            </w:r>
          </w:p>
        </w:tc>
        <w:tc>
          <w:tcPr>
            <w:tcW w:w="1341"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现状（20</w:t>
            </w:r>
            <w:r>
              <w:rPr>
                <w:rFonts w:hint="default" w:ascii="Times New Roman" w:hAnsi="Times New Roman" w:eastAsia="宋体" w:cs="Times New Roman"/>
                <w:color w:val="auto"/>
                <w:sz w:val="21"/>
                <w:szCs w:val="21"/>
                <w:lang w:val="en-US" w:eastAsia="zh-CN"/>
              </w:rPr>
              <w:t>21</w:t>
            </w:r>
            <w:r>
              <w:rPr>
                <w:rFonts w:hint="default" w:ascii="Times New Roman" w:hAnsi="Times New Roman" w:eastAsia="宋体" w:cs="Times New Roman"/>
                <w:color w:val="auto"/>
                <w:sz w:val="21"/>
                <w:szCs w:val="21"/>
              </w:rPr>
              <w:t>年）</w:t>
            </w:r>
          </w:p>
        </w:tc>
        <w:tc>
          <w:tcPr>
            <w:tcW w:w="2468" w:type="dxa"/>
            <w:gridSpan w:val="2"/>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r>
              <w:rPr>
                <w:rFonts w:hint="default" w:ascii="Times New Roman" w:hAnsi="Times New Roman" w:eastAsia="宋体" w:cs="Times New Roman"/>
                <w:color w:val="auto"/>
                <w:sz w:val="21"/>
                <w:szCs w:val="21"/>
                <w:lang w:val="en-US" w:eastAsia="zh-CN"/>
              </w:rPr>
              <w:t>22</w:t>
            </w:r>
            <w:r>
              <w:rPr>
                <w:rFonts w:hint="default" w:ascii="Times New Roman" w:hAnsi="Times New Roman" w:eastAsia="宋体" w:cs="Times New Roman"/>
                <w:color w:val="auto"/>
                <w:sz w:val="21"/>
                <w:szCs w:val="21"/>
              </w:rPr>
              <w:t>年目标</w:t>
            </w:r>
          </w:p>
        </w:tc>
        <w:tc>
          <w:tcPr>
            <w:tcW w:w="2395" w:type="dxa"/>
            <w:gridSpan w:val="2"/>
            <w:tcBorders>
              <w:tl2br w:val="nil"/>
              <w:tr2bl w:val="nil"/>
            </w:tcBorders>
            <w:noWrap w:val="0"/>
            <w:vAlign w:val="center"/>
          </w:tcPr>
          <w:p>
            <w:pPr>
              <w:spacing w:line="240" w:lineRule="auto"/>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远期目标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6"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972"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1341"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1189"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绝对值</w:t>
            </w:r>
          </w:p>
        </w:tc>
        <w:tc>
          <w:tcPr>
            <w:tcW w:w="1279"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削减/增加</w:t>
            </w:r>
          </w:p>
        </w:tc>
        <w:tc>
          <w:tcPr>
            <w:tcW w:w="1128"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绝对值</w:t>
            </w:r>
          </w:p>
        </w:tc>
        <w:tc>
          <w:tcPr>
            <w:tcW w:w="1267"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削减/增加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6"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单位产品每次清洗取水量</w:t>
            </w:r>
          </w:p>
        </w:tc>
        <w:tc>
          <w:tcPr>
            <w:tcW w:w="972"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-产品</w:t>
            </w:r>
          </w:p>
        </w:tc>
        <w:tc>
          <w:tcPr>
            <w:tcW w:w="134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30.36</w:t>
            </w:r>
          </w:p>
        </w:tc>
        <w:tc>
          <w:tcPr>
            <w:tcW w:w="1189"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28.84</w:t>
            </w:r>
          </w:p>
        </w:tc>
        <w:tc>
          <w:tcPr>
            <w:tcW w:w="1279"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p>
        </w:tc>
        <w:tc>
          <w:tcPr>
            <w:tcW w:w="1128"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25.8</w:t>
            </w:r>
          </w:p>
        </w:tc>
        <w:tc>
          <w:tcPr>
            <w:tcW w:w="1267"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6"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单位产品</w:t>
            </w:r>
            <w:r>
              <w:rPr>
                <w:rFonts w:hint="eastAsia" w:ascii="Times New Roman" w:hAnsi="Times New Roman" w:eastAsia="宋体" w:cs="Times New Roman"/>
                <w:color w:val="auto"/>
                <w:sz w:val="21"/>
                <w:szCs w:val="21"/>
                <w:lang w:eastAsia="zh-CN"/>
              </w:rPr>
              <w:t>酸雾排放量</w:t>
            </w:r>
          </w:p>
        </w:tc>
        <w:tc>
          <w:tcPr>
            <w:tcW w:w="972"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-产品</w:t>
            </w:r>
          </w:p>
        </w:tc>
        <w:tc>
          <w:tcPr>
            <w:tcW w:w="134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3.24</w:t>
            </w:r>
          </w:p>
        </w:tc>
        <w:tc>
          <w:tcPr>
            <w:tcW w:w="1189"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w:t>
            </w:r>
          </w:p>
        </w:tc>
        <w:tc>
          <w:tcPr>
            <w:tcW w:w="1279"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w:t>
            </w:r>
            <w:r>
              <w:rPr>
                <w:rFonts w:hint="default" w:ascii="Times New Roman" w:hAnsi="Times New Roman" w:eastAsia="宋体" w:cs="Times New Roman"/>
                <w:color w:val="auto"/>
                <w:sz w:val="21"/>
                <w:szCs w:val="21"/>
                <w:lang w:val="en-US" w:eastAsia="zh-CN"/>
              </w:rPr>
              <w:t>%</w:t>
            </w:r>
          </w:p>
        </w:tc>
        <w:tc>
          <w:tcPr>
            <w:tcW w:w="1128"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2.43</w:t>
            </w:r>
          </w:p>
        </w:tc>
        <w:tc>
          <w:tcPr>
            <w:tcW w:w="1267"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注：根据项目现状清洗工序取水量，单位产品每次清洗取水量为30.36</w:t>
      </w:r>
      <w:r>
        <w:rPr>
          <w:rFonts w:hint="default" w:ascii="Times New Roman" w:hAnsi="Times New Roman" w:cs="Times New Roman"/>
          <w:b w:val="0"/>
          <w:bCs w:val="0"/>
          <w:color w:val="auto"/>
          <w:sz w:val="24"/>
          <w:szCs w:val="24"/>
          <w:lang w:val="en-US" w:eastAsia="zh-CN"/>
        </w:rPr>
        <w:t>L/m</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-产品</w:t>
      </w:r>
      <w:r>
        <w:rPr>
          <w:rFonts w:hint="eastAsia" w:ascii="Times New Roman" w:hAnsi="Times New Roman" w:cs="Times New Roman"/>
          <w:b w:val="0"/>
          <w:bCs w:val="0"/>
          <w:color w:val="auto"/>
          <w:sz w:val="24"/>
          <w:szCs w:val="24"/>
          <w:lang w:val="en-US" w:eastAsia="zh-CN"/>
        </w:rPr>
        <w:t>；根据项目现状废气监测结果进行分析，取废气监测数据中排放速率平均值进行计算，项目现状酸雾（包含盐酸雾和硫酸雾）排放量为0.77t/a，折合单位产品酸雾酸雾排放量为3.24g/m</w:t>
      </w:r>
      <w:r>
        <w:rPr>
          <w:rFonts w:hint="eastAsia" w:ascii="Times New Roman" w:hAnsi="Times New Roman" w:cs="Times New Roman"/>
          <w:b w:val="0"/>
          <w:bCs w:val="0"/>
          <w:color w:val="auto"/>
          <w:sz w:val="24"/>
          <w:szCs w:val="24"/>
          <w:vertAlign w:val="superscript"/>
          <w:lang w:val="en-US" w:eastAsia="zh-CN"/>
        </w:rPr>
        <w:t>2</w:t>
      </w:r>
      <w:r>
        <w:rPr>
          <w:rFonts w:hint="eastAsia" w:ascii="Times New Roman" w:hAnsi="Times New Roman" w:cs="Times New Roman"/>
          <w:b w:val="0"/>
          <w:bCs w:val="0"/>
          <w:color w:val="auto"/>
          <w:sz w:val="24"/>
          <w:szCs w:val="24"/>
          <w:lang w:val="en-US" w:eastAsia="zh-CN"/>
        </w:rPr>
        <w:t>-产品。</w:t>
      </w:r>
    </w:p>
    <w:p>
      <w:pPr>
        <w:pStyle w:val="5"/>
        <w:bidi w:val="0"/>
        <w:rPr>
          <w:rFonts w:hint="default" w:ascii="Times New Roman" w:hAnsi="Times New Roman" w:cs="Times New Roman"/>
          <w:lang w:eastAsia="zh-CN"/>
        </w:rPr>
      </w:pPr>
      <w:r>
        <w:rPr>
          <w:rFonts w:hint="default" w:ascii="Times New Roman" w:hAnsi="Times New Roman" w:cs="Times New Roman"/>
          <w:lang w:eastAsia="zh-CN"/>
        </w:rPr>
        <w:t>3.</w:t>
      </w:r>
      <w:r>
        <w:rPr>
          <w:rFonts w:hint="default" w:ascii="Times New Roman" w:hAnsi="Times New Roman" w:cs="Times New Roman"/>
          <w:lang w:val="en-US" w:eastAsia="zh-CN"/>
        </w:rPr>
        <w:t>6</w:t>
      </w:r>
      <w:r>
        <w:rPr>
          <w:rFonts w:hint="default" w:ascii="Times New Roman" w:hAnsi="Times New Roman" w:cs="Times New Roman"/>
          <w:lang w:eastAsia="zh-CN"/>
        </w:rPr>
        <w:t xml:space="preserve"> 预审核阶段提出方案汇总</w:t>
      </w:r>
      <w:bookmarkEnd w:id="100"/>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在本轮预审核过程中，发现存在的问题和清洁生产潜力，提出了相应的改进措施，其中有相当部分无需投资或投资很少，可以迅速采取措施解决，并在短期内见效。即无/低费方案。公司清洁生产小组通过座谈、咨询、征求清洁生产建议、现场调查等方式，收集汇总</w:t>
      </w:r>
      <w:r>
        <w:rPr>
          <w:rFonts w:hint="default" w:ascii="Times New Roman" w:hAnsi="Times New Roman" w:cs="Times New Roman"/>
          <w:b w:val="0"/>
          <w:bCs w:val="0"/>
          <w:color w:val="auto"/>
          <w:sz w:val="24"/>
          <w:szCs w:val="24"/>
          <w:lang w:val="en-US" w:eastAsia="zh-CN"/>
        </w:rPr>
        <w:t>18</w:t>
      </w:r>
      <w:r>
        <w:rPr>
          <w:rFonts w:hint="default" w:ascii="Times New Roman" w:hAnsi="Times New Roman" w:cs="Times New Roman"/>
          <w:b w:val="0"/>
          <w:bCs w:val="0"/>
          <w:color w:val="auto"/>
          <w:sz w:val="24"/>
          <w:szCs w:val="24"/>
          <w:lang w:eastAsia="zh-CN"/>
        </w:rPr>
        <w:t>项无/低费方案，</w:t>
      </w:r>
      <w:r>
        <w:rPr>
          <w:rFonts w:hint="default" w:ascii="Times New Roman" w:hAnsi="Times New Roman" w:cs="Times New Roman"/>
          <w:b w:val="0"/>
          <w:bCs w:val="0"/>
          <w:color w:val="auto"/>
          <w:sz w:val="24"/>
          <w:szCs w:val="24"/>
          <w:lang w:val="en-US" w:eastAsia="zh-CN"/>
        </w:rPr>
        <w:t>2项中高费方案</w:t>
      </w:r>
      <w:r>
        <w:rPr>
          <w:rFonts w:hint="default" w:ascii="Times New Roman" w:hAnsi="Times New Roman" w:cs="Times New Roman"/>
          <w:b w:val="0"/>
          <w:bCs w:val="0"/>
          <w:color w:val="auto"/>
          <w:sz w:val="24"/>
          <w:szCs w:val="24"/>
          <w:lang w:eastAsia="zh-CN"/>
        </w:rPr>
        <w:t>。本阶段产生的清洁生产方案详见表3-18。</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3-18  预审核阶段产生的清洁生产方案</w:t>
      </w:r>
    </w:p>
    <w:tbl>
      <w:tblPr>
        <w:tblStyle w:val="2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160"/>
        <w:gridCol w:w="3934"/>
        <w:gridCol w:w="147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方案名称</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方案内容</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投资</w:t>
            </w:r>
          </w:p>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F01</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加强设备维护及保洁</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每天下班后清洁工作面及地面，把机器擦洗干净</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F02</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强化生产管理</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对设备定期维修，减少物料流失和节能降耗</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F03</w:t>
            </w:r>
          </w:p>
        </w:tc>
        <w:tc>
          <w:tcPr>
            <w:tcW w:w="2160" w:type="dxa"/>
            <w:tcBorders>
              <w:tl2br w:val="nil"/>
              <w:tr2bl w:val="nil"/>
            </w:tcBorders>
            <w:noWrap w:val="0"/>
            <w:vAlign w:val="center"/>
          </w:tcPr>
          <w:p>
            <w:pPr>
              <w:spacing w:line="240" w:lineRule="auto"/>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w:t>
            </w:r>
            <w:r>
              <w:rPr>
                <w:rFonts w:hint="eastAsia" w:ascii="Times New Roman" w:hAnsi="Times New Roman" w:eastAsia="宋体" w:cs="Times New Roman"/>
                <w:sz w:val="21"/>
                <w:szCs w:val="21"/>
                <w:lang w:eastAsia="zh-CN"/>
              </w:rPr>
              <w:t>、补充用水计量装置</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定期检查、校正各种计量设备，保证投入的原料最优化，</w:t>
            </w:r>
            <w:r>
              <w:rPr>
                <w:rFonts w:hint="default" w:ascii="Times New Roman" w:hAnsi="Times New Roman" w:eastAsia="宋体" w:cs="Times New Roman"/>
                <w:sz w:val="21"/>
                <w:szCs w:val="21"/>
                <w:lang w:eastAsia="zh-CN"/>
              </w:rPr>
              <w:t>防止</w:t>
            </w:r>
            <w:r>
              <w:rPr>
                <w:rFonts w:hint="default" w:ascii="Times New Roman" w:hAnsi="Times New Roman" w:eastAsia="宋体" w:cs="Times New Roman"/>
                <w:sz w:val="21"/>
                <w:szCs w:val="21"/>
              </w:rPr>
              <w:t>由于计量设备的误差造成原料的浪费</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F04</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定期检查各项污染防治措施</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对各项污染防治措施定期检查，发现问题及时检修，防止水、气、电、渣等污染事故的发生</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F05</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 、电节能利用</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养成不用的时候随手关水、关电的好习惯</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F06</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制定清洁生产培训计划，定期对员工进行相关知识培训</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F07</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厂区收集的一般工业固体废物和危险废物在暂存间内</w:t>
            </w:r>
            <w:r>
              <w:rPr>
                <w:rFonts w:hint="default" w:ascii="Times New Roman" w:hAnsi="Times New Roman" w:eastAsia="宋体" w:cs="Times New Roman"/>
                <w:sz w:val="21"/>
                <w:szCs w:val="21"/>
              </w:rPr>
              <w:t>分类存放，合理处置</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F08</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节省纸张</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加强办公耗材管理</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F09</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维修工具定点存放方便使用、强化操作工的安全意识和熟练度、每天下班检查和保养设备，有故障时及时维修，保证第二天正常使用</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F10</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备品备件齐全</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常用备品备件齐全，设备故障时能及时更换</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F11</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完善岗位操作规范，定期对员工进行培训和考核</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F12</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产品防潮、防尘、防火</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加强管理，做好产品的防尘、防潮、防火</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F13</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制定合理的奖惩制度，根据完成情况有得有失，提高员工的整体素质，充分发挥职工潜能</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F14</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加强安全教育</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加强员工安全教育，杜绝任何安全事故的发生</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F15</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增加垃圾桶数量，改善车间环境</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F16</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及时调整工作班次</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根据生产任务量安排生产，节省人工支出，降低人工成本</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F17</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应急预案的建立</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建立关于危险化学使用、储存，机械操作的应急预案并进行演练，防患未然</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F18</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设备使用规章制度</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完善设备使用规章制度，同时建立监督机制，</w:t>
            </w:r>
            <w:r>
              <w:rPr>
                <w:rFonts w:hint="default" w:ascii="Times New Roman" w:hAnsi="Times New Roman" w:eastAsia="宋体" w:cs="Times New Roman"/>
                <w:sz w:val="21"/>
                <w:szCs w:val="21"/>
                <w:lang w:eastAsia="zh-CN"/>
              </w:rPr>
              <w:t>延长</w:t>
            </w:r>
            <w:r>
              <w:rPr>
                <w:rFonts w:hint="default" w:ascii="Times New Roman" w:hAnsi="Times New Roman" w:eastAsia="宋体" w:cs="Times New Roman"/>
                <w:sz w:val="21"/>
                <w:szCs w:val="21"/>
              </w:rPr>
              <w:t>设备使用年限</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F19</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酸雾处理</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对现有酸雾吸收塔进行升级改造，内部设置二级碱吸收和自动投药，收集装置处将原有顶吸集气更换为侧吸</w:t>
            </w:r>
            <w:r>
              <w:rPr>
                <w:rFonts w:hint="eastAsia" w:ascii="Times New Roman" w:hAnsi="Times New Roman" w:eastAsia="宋体" w:cs="Times New Roman"/>
                <w:sz w:val="21"/>
                <w:szCs w:val="21"/>
                <w:lang w:val="en-US" w:eastAsia="zh-CN"/>
              </w:rPr>
              <w:t>+顶吸</w:t>
            </w:r>
            <w:r>
              <w:rPr>
                <w:rFonts w:hint="default" w:ascii="Times New Roman" w:hAnsi="Times New Roman" w:eastAsia="宋体" w:cs="Times New Roman"/>
                <w:sz w:val="21"/>
                <w:szCs w:val="21"/>
                <w:lang w:eastAsia="zh-CN"/>
              </w:rPr>
              <w:t>集气</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F20</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生产废水分类处理</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eastAsia="zh-CN"/>
              </w:rPr>
              <w:t>新建一座含镍废水处理站，将含镍废水和不含镍废水分开处理，扩大污水处理站水池，增加废水停留时间</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w:t>
            </w:r>
          </w:p>
        </w:tc>
      </w:tr>
    </w:tbl>
    <w:p>
      <w:pPr>
        <w:spacing w:line="360" w:lineRule="auto"/>
        <w:ind w:firstLine="480" w:firstLineChars="200"/>
        <w:jc w:val="left"/>
        <w:rPr>
          <w:rFonts w:hint="default" w:ascii="Times New Roman" w:hAnsi="Times New Roman" w:cs="Times New Roman"/>
          <w:b w:val="0"/>
          <w:bCs w:val="0"/>
          <w:color w:val="FF0000"/>
          <w:sz w:val="24"/>
          <w:szCs w:val="24"/>
          <w:lang w:val="en-US"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rPr>
          <w:rFonts w:hint="default" w:ascii="Times New Roman" w:hAnsi="Times New Roman" w:cs="Times New Roman"/>
          <w:lang w:eastAsia="zh-CN"/>
        </w:rPr>
      </w:pPr>
      <w:r>
        <w:rPr>
          <w:rFonts w:hint="default" w:ascii="Times New Roman" w:hAnsi="Times New Roman" w:cs="Times New Roman"/>
          <w:lang w:eastAsia="zh-CN"/>
        </w:rPr>
        <w:br w:type="page"/>
      </w:r>
    </w:p>
    <w:p>
      <w:pPr>
        <w:pStyle w:val="3"/>
        <w:bidi w:val="0"/>
        <w:jc w:val="center"/>
        <w:rPr>
          <w:rFonts w:hint="default" w:ascii="Times New Roman" w:hAnsi="Times New Roman" w:cs="Times New Roman"/>
          <w:lang w:eastAsia="zh-CN"/>
        </w:rPr>
      </w:pPr>
      <w:bookmarkStart w:id="101" w:name="_Toc22562"/>
      <w:r>
        <w:rPr>
          <w:rFonts w:hint="default" w:ascii="Times New Roman" w:hAnsi="Times New Roman" w:cs="Times New Roman"/>
          <w:lang w:eastAsia="zh-CN"/>
        </w:rPr>
        <w:t>第四章 审核</w:t>
      </w:r>
      <w:bookmarkEnd w:id="101"/>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本阶段是对审核重点的原材料、生产过程以及废物的产生进行审核。审核是通过对审核重点的物料平衡、水平衡及能量衡算，分析物料和能源流失的环节，找出污染物产生原因。查找原材料储存、生产运行与管理和过程控制等方面存在的问题，以及与国内外先进水平的差距，以确定预防污染方案。根据权重总和计分排序的结果，本次清洁生产审核重点为电镀车间，即项目整个电镀生产线。</w:t>
      </w:r>
    </w:p>
    <w:p>
      <w:pPr>
        <w:pStyle w:val="5"/>
        <w:bidi w:val="0"/>
        <w:rPr>
          <w:rFonts w:hint="default" w:ascii="Times New Roman" w:hAnsi="Times New Roman" w:cs="Times New Roman"/>
          <w:lang w:eastAsia="zh-CN"/>
        </w:rPr>
      </w:pPr>
      <w:bookmarkStart w:id="102" w:name="_Toc8850"/>
      <w:r>
        <w:rPr>
          <w:rFonts w:hint="default" w:ascii="Times New Roman" w:hAnsi="Times New Roman" w:cs="Times New Roman"/>
          <w:lang w:eastAsia="zh-CN"/>
        </w:rPr>
        <w:t>4.1 审核重点概况</w:t>
      </w:r>
      <w:bookmarkEnd w:id="102"/>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4.1.1 审核重点基本情况介绍</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企业共有员工</w:t>
      </w:r>
      <w:r>
        <w:rPr>
          <w:rFonts w:hint="default" w:ascii="Times New Roman" w:hAnsi="Times New Roman" w:cs="Times New Roman"/>
          <w:b w:val="0"/>
          <w:bCs w:val="0"/>
          <w:color w:val="auto"/>
          <w:sz w:val="24"/>
          <w:szCs w:val="24"/>
          <w:lang w:val="en-US" w:eastAsia="zh-CN"/>
        </w:rPr>
        <w:t>32</w:t>
      </w:r>
      <w:r>
        <w:rPr>
          <w:rFonts w:hint="default" w:ascii="Times New Roman" w:hAnsi="Times New Roman" w:cs="Times New Roman"/>
          <w:b w:val="0"/>
          <w:bCs w:val="0"/>
          <w:color w:val="auto"/>
          <w:sz w:val="24"/>
          <w:szCs w:val="24"/>
          <w:lang w:eastAsia="zh-CN"/>
        </w:rPr>
        <w:t>个人，采</w:t>
      </w:r>
      <w:r>
        <w:rPr>
          <w:rFonts w:hint="default" w:ascii="Times New Roman" w:hAnsi="Times New Roman" w:cs="Times New Roman"/>
          <w:b w:val="0"/>
          <w:bCs w:val="0"/>
          <w:color w:val="auto"/>
          <w:sz w:val="24"/>
          <w:szCs w:val="24"/>
          <w:highlight w:val="none"/>
          <w:lang w:eastAsia="zh-CN"/>
        </w:rPr>
        <w:t>用单班制，制定有严格的岗位操作制度、安全生产制度、交接班制度等相关车间内部管理</w:t>
      </w:r>
      <w:r>
        <w:rPr>
          <w:rFonts w:hint="default" w:ascii="Times New Roman" w:hAnsi="Times New Roman" w:cs="Times New Roman"/>
          <w:b w:val="0"/>
          <w:bCs w:val="0"/>
          <w:color w:val="auto"/>
          <w:sz w:val="24"/>
          <w:szCs w:val="24"/>
          <w:lang w:eastAsia="zh-CN"/>
        </w:rPr>
        <w:t>制度。厂区整体呈南北向，内部分别设置有电镀车间、冲制车间、包装车间、锅炉房、职工宿舍等。</w:t>
      </w:r>
      <w:r>
        <w:rPr>
          <w:rFonts w:hint="default" w:ascii="Times New Roman" w:hAnsi="Times New Roman" w:cs="Times New Roman"/>
          <w:b w:val="0"/>
          <w:bCs w:val="0"/>
          <w:color w:val="auto"/>
          <w:sz w:val="24"/>
          <w:szCs w:val="24"/>
          <w:highlight w:val="none"/>
          <w:lang w:val="en-US" w:eastAsia="zh-CN"/>
        </w:rPr>
        <w:t>厂区内设置2座污水处理站，其中1#污水处理站处理脱脂后水洗废</w:t>
      </w:r>
      <w:r>
        <w:rPr>
          <w:rFonts w:hint="default" w:ascii="Times New Roman" w:hAnsi="Times New Roman" w:cs="Times New Roman"/>
          <w:b w:val="0"/>
          <w:bCs w:val="0"/>
          <w:color w:val="auto"/>
          <w:sz w:val="24"/>
          <w:szCs w:val="24"/>
          <w:lang w:val="en-US" w:eastAsia="zh-CN"/>
        </w:rPr>
        <w:t>水，处理工艺为“混凝沉淀+气浮+高效臭氧催化反应”，处理规模48t/d；2#污水处理站处理含镍废水，处理工艺为“高效气浮+混凝沉淀+板框压滤+二次反渗透”，处理规模为48t/d。</w:t>
      </w:r>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4.1.2 审核重点生产工艺流程</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highlight w:val="none"/>
          <w:lang w:eastAsia="zh-CN"/>
        </w:rPr>
        <w:t>本项目生产的产品为冲孔镀镍钢带和镀镍钢壳，</w:t>
      </w:r>
      <w:r>
        <w:rPr>
          <w:rFonts w:hint="default" w:ascii="Times New Roman" w:hAnsi="Times New Roman" w:cs="Times New Roman"/>
          <w:b w:val="0"/>
          <w:bCs w:val="0"/>
          <w:color w:val="auto"/>
          <w:sz w:val="24"/>
          <w:szCs w:val="24"/>
          <w:highlight w:val="none"/>
          <w:lang w:val="en-US" w:eastAsia="zh-CN"/>
        </w:rPr>
        <w:t>产品冲孔镀镍钢带的生产工艺为“基材—冲制—脱脂—水洗—酸洗—纯水洗—电镀—镍回收—纯水洗—烘干”，产品镀镍钢壳的生产工艺为“基材—冲制—脱脂—水洗—酸洗—纯水洗—电镀—镍回收—纯水洗—漂白—纯水洗—中和—纯水洗—钝化—纯水洗—中和—纯水洗—保护—甩干—烘干”</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lang w:eastAsia="zh-CN"/>
        </w:rPr>
        <w:t>生产工艺第三章已做了详细介绍，本章不再赘述。</w:t>
      </w:r>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4.1.3 审核重点产排污情况介绍</w:t>
      </w:r>
    </w:p>
    <w:p>
      <w:pPr>
        <w:spacing w:line="360" w:lineRule="auto"/>
        <w:ind w:firstLine="480" w:firstLineChars="200"/>
        <w:jc w:val="left"/>
        <w:rPr>
          <w:rFonts w:hint="default" w:ascii="Times New Roman" w:hAnsi="Times New Roman" w:cs="Times New Roman"/>
          <w:b w:val="0"/>
          <w:bCs w:val="0"/>
          <w:color w:val="auto"/>
          <w:sz w:val="24"/>
          <w:szCs w:val="24"/>
          <w:highlight w:val="yellow"/>
          <w:lang w:eastAsia="zh-CN"/>
        </w:rPr>
      </w:pPr>
      <w:r>
        <w:rPr>
          <w:rFonts w:hint="default" w:ascii="Times New Roman" w:hAnsi="Times New Roman" w:cs="Times New Roman"/>
          <w:b w:val="0"/>
          <w:bCs w:val="0"/>
          <w:color w:val="auto"/>
          <w:sz w:val="24"/>
          <w:szCs w:val="24"/>
          <w:lang w:eastAsia="zh-CN"/>
        </w:rPr>
        <w:t>企业产生的</w:t>
      </w:r>
      <w:r>
        <w:rPr>
          <w:rFonts w:hint="default" w:ascii="Times New Roman" w:hAnsi="Times New Roman" w:cs="Times New Roman"/>
          <w:b w:val="0"/>
          <w:bCs w:val="0"/>
          <w:color w:val="auto"/>
          <w:sz w:val="24"/>
          <w:szCs w:val="24"/>
          <w:highlight w:val="none"/>
          <w:lang w:eastAsia="zh-CN"/>
        </w:rPr>
        <w:t>污染物主要有废气，废水和固废。</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废气：本项目现状废气为酸洗池和钝化池产生的酸雾气体、食堂产生的油烟和锅炉燃烧产生的燃烧尾气。酸雾原清改时期未识别，于2017年10月补充了废气治理措施，项目废气污染物采取的处理措施如下：</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1）在酸洗池和钝化池上方加装酸雾集气装置收集产生的酸雾气体，集气管道采用耐腐蚀的材质，废气收集后通入酸雾吸收塔进行吸收处理，吸收液采用NaOH的稀溶液，经酸雾吸收塔吸收后由15m高的排气筒排放。</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2）食堂配备油烟净化器吸收处理运营过程中产生的油烟，经过屋顶的排气筒排放。</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3）锅炉采用“低氮燃烧+烟气循环”技术，燃烧产生的尾气经过屋顶的排气筒排放。</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废水：项目产生的废水主要为脱脂后清洗废水、酸洗废水、酸洗后水洗废水、电镀后清洗废水、漂白废水、漂白后水洗废水、一次中和废水、一次中和后水洗废水、钝化废水、钝化后水洗废水、二次中和废水、二次中和后水洗废水、地面冲洗废水、职工生活废水。其中脱脂后清洗废水、酸洗废水、酸洗后水洗废水、地面冲洗废水属于不含重金属的生活废水，主要污染物为COD、氨氮、石油类等，经车间内排水管道收集后通入1#废水处理站进行处理，处理后排放至新乡市小尚庄污水处理厂综合处理。电镀后清洗废水、漂白废水、漂白后水洗废水、一次中和废水、一次中和后水洗废水、钝化废水、钝化后水洗废水、二次中和废水、二次中和后水洗废水为含镍废水，经车间内排水管道收集后通入2#废水处理站进行处理，处理后回用于电镀池补水及后续清洗用水，不外排；职工生活废水经厂区内化粪池处理后排入市政污水管网。</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highlight w:val="none"/>
          <w:lang w:val="en-US" w:eastAsia="zh-CN"/>
        </w:rPr>
        <w:t>固废：本项目产生的固体废物主要为生活垃圾、冲制边角料、废乳化液、废油桶、废脱脂液、电镀废渣、废反渗透膜、废离子交换材料、污泥等。其中生活垃圾在厂区设置垃圾桶收集后交由环卫部门回收处理；冲制边角料属于一般工业固废，在厂区内设置一般工业固体废物暂存间暂存后外售；废乳化液、废油桶、废脱脂液、电镀废渣、废反渗透膜、废离子交换材料、污泥属于危险废物</w:t>
      </w:r>
      <w:r>
        <w:rPr>
          <w:rFonts w:hint="default" w:ascii="Times New Roman" w:hAnsi="Times New Roman" w:cs="Times New Roman"/>
          <w:b w:val="0"/>
          <w:bCs w:val="0"/>
          <w:color w:val="auto"/>
          <w:sz w:val="24"/>
          <w:szCs w:val="24"/>
          <w:lang w:val="en-US" w:eastAsia="zh-CN"/>
        </w:rPr>
        <w:t>，在厂区设置专用容器分类收集，暂存于危废暂存间内，委托有资质的单位回收处理。</w:t>
      </w:r>
    </w:p>
    <w:p>
      <w:pPr>
        <w:pStyle w:val="5"/>
        <w:bidi w:val="0"/>
        <w:rPr>
          <w:rFonts w:hint="default" w:ascii="Times New Roman" w:hAnsi="Times New Roman" w:cs="Times New Roman"/>
          <w:lang w:eastAsia="zh-CN"/>
        </w:rPr>
      </w:pPr>
      <w:bookmarkStart w:id="103" w:name="_Toc27692"/>
      <w:r>
        <w:rPr>
          <w:rFonts w:hint="default" w:ascii="Times New Roman" w:hAnsi="Times New Roman" w:cs="Times New Roman"/>
          <w:lang w:eastAsia="zh-CN"/>
        </w:rPr>
        <w:t>4.2 审核重点物料实测</w:t>
      </w:r>
      <w:bookmarkEnd w:id="103"/>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4.2.1 输入输出物料实测</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本项目生产的产品规格大同小异，相对于电镀面积来说，各类产品区别较小，在历年的生产运营过程中生产能力较为稳定，我们选取了项目</w:t>
      </w:r>
      <w:r>
        <w:rPr>
          <w:rFonts w:hint="default" w:ascii="Times New Roman" w:hAnsi="Times New Roman" w:cs="Times New Roman"/>
          <w:b w:val="0"/>
          <w:bCs w:val="0"/>
          <w:color w:val="auto"/>
          <w:sz w:val="24"/>
          <w:szCs w:val="24"/>
          <w:lang w:val="en-US" w:eastAsia="zh-CN"/>
        </w:rPr>
        <w:t>202</w:t>
      </w:r>
      <w:r>
        <w:rPr>
          <w:rFonts w:hint="eastAsia" w:ascii="Times New Roman" w:hAnsi="Times New Roman" w:cs="Times New Roman"/>
          <w:b w:val="0"/>
          <w:bCs w:val="0"/>
          <w:color w:val="auto"/>
          <w:sz w:val="24"/>
          <w:szCs w:val="24"/>
          <w:lang w:val="en-US" w:eastAsia="zh-CN"/>
        </w:rPr>
        <w:t>0</w:t>
      </w:r>
      <w:r>
        <w:rPr>
          <w:rFonts w:hint="default" w:ascii="Times New Roman" w:hAnsi="Times New Roman" w:cs="Times New Roman"/>
          <w:b w:val="0"/>
          <w:bCs w:val="0"/>
          <w:color w:val="auto"/>
          <w:sz w:val="24"/>
          <w:szCs w:val="24"/>
          <w:lang w:val="en-US" w:eastAsia="zh-CN"/>
        </w:rPr>
        <w:t>年</w:t>
      </w:r>
      <w:r>
        <w:rPr>
          <w:rFonts w:hint="eastAsia" w:ascii="Times New Roman" w:hAnsi="Times New Roman" w:cs="Times New Roman"/>
          <w:b w:val="0"/>
          <w:bCs w:val="0"/>
          <w:color w:val="auto"/>
          <w:sz w:val="24"/>
          <w:szCs w:val="24"/>
          <w:lang w:val="en-US" w:eastAsia="zh-CN"/>
        </w:rPr>
        <w:t>全年</w:t>
      </w:r>
      <w:r>
        <w:rPr>
          <w:rFonts w:hint="default" w:ascii="Times New Roman" w:hAnsi="Times New Roman" w:cs="Times New Roman"/>
          <w:b w:val="0"/>
          <w:bCs w:val="0"/>
          <w:color w:val="auto"/>
          <w:sz w:val="24"/>
          <w:szCs w:val="24"/>
          <w:lang w:val="en-US" w:eastAsia="zh-CN"/>
        </w:rPr>
        <w:t>的实际生产</w:t>
      </w:r>
      <w:r>
        <w:rPr>
          <w:rFonts w:hint="eastAsia" w:ascii="Times New Roman" w:hAnsi="Times New Roman" w:cs="Times New Roman"/>
          <w:b w:val="0"/>
          <w:bCs w:val="0"/>
          <w:color w:val="auto"/>
          <w:sz w:val="24"/>
          <w:szCs w:val="24"/>
          <w:lang w:val="en-US" w:eastAsia="zh-CN"/>
        </w:rPr>
        <w:t>年报</w:t>
      </w:r>
      <w:r>
        <w:rPr>
          <w:rFonts w:hint="default" w:ascii="Times New Roman" w:hAnsi="Times New Roman" w:cs="Times New Roman"/>
          <w:b w:val="0"/>
          <w:bCs w:val="0"/>
          <w:color w:val="auto"/>
          <w:sz w:val="24"/>
          <w:szCs w:val="24"/>
          <w:lang w:val="en-US" w:eastAsia="zh-CN"/>
        </w:rPr>
        <w:t>数据作为本项目的物料实测数据。</w:t>
      </w:r>
      <w:r>
        <w:rPr>
          <w:rFonts w:hint="default" w:ascii="Times New Roman" w:hAnsi="Times New Roman" w:cs="Times New Roman"/>
          <w:b w:val="0"/>
          <w:bCs w:val="0"/>
          <w:color w:val="auto"/>
          <w:sz w:val="24"/>
          <w:szCs w:val="24"/>
          <w:lang w:eastAsia="zh-CN"/>
        </w:rPr>
        <w:t>汇总数据如下表所示：</w:t>
      </w:r>
    </w:p>
    <w:p>
      <w:pPr>
        <w:spacing w:line="240" w:lineRule="auto"/>
        <w:jc w:val="center"/>
        <w:rPr>
          <w:rFonts w:hint="default" w:ascii="Times New Roman" w:hAnsi="Times New Roman" w:cs="Times New Roman"/>
          <w:b w:val="0"/>
          <w:bCs w:val="0"/>
          <w:color w:val="auto"/>
          <w:sz w:val="24"/>
          <w:szCs w:val="24"/>
          <w:lang w:eastAsia="zh-CN"/>
        </w:rPr>
      </w:pPr>
    </w:p>
    <w:p>
      <w:pPr>
        <w:spacing w:line="240" w:lineRule="auto"/>
        <w:jc w:val="center"/>
        <w:rPr>
          <w:rFonts w:hint="default" w:ascii="Times New Roman" w:hAnsi="Times New Roman" w:cs="Times New Roman"/>
          <w:b w:val="0"/>
          <w:bCs w:val="0"/>
          <w:color w:val="auto"/>
          <w:sz w:val="24"/>
          <w:szCs w:val="24"/>
          <w:lang w:eastAsia="zh-CN"/>
        </w:rPr>
      </w:pPr>
    </w:p>
    <w:p>
      <w:pPr>
        <w:spacing w:line="24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4-1  物料输入输出物料实测</w:t>
      </w:r>
      <w:r>
        <w:rPr>
          <w:rFonts w:hint="eastAsia" w:ascii="Times New Roman" w:hAnsi="Times New Roman" w:cs="Times New Roman"/>
          <w:b w:val="0"/>
          <w:bCs w:val="0"/>
          <w:color w:val="auto"/>
          <w:sz w:val="24"/>
          <w:szCs w:val="24"/>
          <w:lang w:val="en-US" w:eastAsia="zh-CN"/>
        </w:rPr>
        <w:t>记录</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84"/>
        <w:gridCol w:w="1500"/>
        <w:gridCol w:w="1176"/>
        <w:gridCol w:w="1719"/>
        <w:gridCol w:w="1122"/>
        <w:gridCol w:w="142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0"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输入项</w:t>
            </w:r>
          </w:p>
        </w:tc>
        <w:tc>
          <w:tcPr>
            <w:tcW w:w="4262"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输出项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物料名称</w:t>
            </w:r>
          </w:p>
        </w:tc>
        <w:tc>
          <w:tcPr>
            <w:tcW w:w="1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总量</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单位</w:t>
            </w:r>
          </w:p>
        </w:tc>
        <w:tc>
          <w:tcPr>
            <w:tcW w:w="1719"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物料名称</w:t>
            </w:r>
          </w:p>
        </w:tc>
        <w:tc>
          <w:tcPr>
            <w:tcW w:w="11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eastAsia="zh-CN"/>
              </w:rPr>
              <w:t>总量</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eastAsia="zh-CN"/>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基材钢带</w:t>
            </w:r>
          </w:p>
        </w:tc>
        <w:tc>
          <w:tcPr>
            <w:tcW w:w="150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kern w:val="2"/>
                <w:sz w:val="21"/>
                <w:szCs w:val="21"/>
                <w:lang w:val="en-US" w:eastAsia="zh-CN" w:bidi="ar-SA"/>
              </w:rPr>
              <w:t>4</w:t>
            </w:r>
            <w:r>
              <w:rPr>
                <w:rFonts w:hint="eastAsia" w:ascii="Times New Roman" w:hAnsi="Times New Roman" w:cs="Times New Roman"/>
                <w:kern w:val="2"/>
                <w:sz w:val="21"/>
                <w:szCs w:val="21"/>
                <w:lang w:val="en-US" w:eastAsia="zh-CN" w:bidi="ar-SA"/>
              </w:rPr>
              <w:t>8</w:t>
            </w:r>
            <w:r>
              <w:rPr>
                <w:rFonts w:hint="default" w:ascii="Times New Roman" w:hAnsi="Times New Roman" w:cs="Times New Roman"/>
                <w:kern w:val="2"/>
                <w:sz w:val="21"/>
                <w:szCs w:val="21"/>
                <w:lang w:val="en-US" w:eastAsia="zh-CN" w:bidi="ar-SA"/>
              </w:rPr>
              <w:t>0</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冲孔镀镍钢带</w:t>
            </w:r>
          </w:p>
        </w:tc>
        <w:tc>
          <w:tcPr>
            <w:tcW w:w="11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162.92</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镍板</w:t>
            </w:r>
          </w:p>
        </w:tc>
        <w:tc>
          <w:tcPr>
            <w:tcW w:w="1500" w:type="dxa"/>
            <w:tcBorders>
              <w:tl2br w:val="nil"/>
              <w:tr2bl w:val="nil"/>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7</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镀镍钢壳</w:t>
            </w:r>
          </w:p>
        </w:tc>
        <w:tc>
          <w:tcPr>
            <w:tcW w:w="11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244.39</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氢氧化钠</w:t>
            </w:r>
          </w:p>
        </w:tc>
        <w:tc>
          <w:tcPr>
            <w:tcW w:w="1500" w:type="dxa"/>
            <w:tcBorders>
              <w:tl2br w:val="nil"/>
              <w:tr2bl w:val="nil"/>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5</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污泥</w:t>
            </w:r>
          </w:p>
        </w:tc>
        <w:tc>
          <w:tcPr>
            <w:tcW w:w="11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0.55</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食用纯碱</w:t>
            </w:r>
          </w:p>
        </w:tc>
        <w:tc>
          <w:tcPr>
            <w:tcW w:w="1500" w:type="dxa"/>
            <w:tcBorders>
              <w:tl2br w:val="nil"/>
              <w:tr2bl w:val="nil"/>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3</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水蒸气</w:t>
            </w:r>
          </w:p>
        </w:tc>
        <w:tc>
          <w:tcPr>
            <w:tcW w:w="11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5802</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硫酸镍</w:t>
            </w:r>
          </w:p>
        </w:tc>
        <w:tc>
          <w:tcPr>
            <w:tcW w:w="1500" w:type="dxa"/>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2</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酸雾</w:t>
            </w:r>
          </w:p>
        </w:tc>
        <w:tc>
          <w:tcPr>
            <w:tcW w:w="112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0.771</w:t>
            </w:r>
          </w:p>
        </w:tc>
        <w:tc>
          <w:tcPr>
            <w:tcW w:w="1421"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rPr>
              <w:t>氯化镍</w:t>
            </w:r>
          </w:p>
        </w:tc>
        <w:tc>
          <w:tcPr>
            <w:tcW w:w="1500" w:type="dxa"/>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1</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电镀废渣</w:t>
            </w:r>
          </w:p>
        </w:tc>
        <w:tc>
          <w:tcPr>
            <w:tcW w:w="112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0.11</w:t>
            </w:r>
          </w:p>
        </w:tc>
        <w:tc>
          <w:tcPr>
            <w:tcW w:w="1421"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default" w:ascii="Times New Roman" w:hAnsi="Times New Roman" w:cs="Times New Roman"/>
                <w:szCs w:val="21"/>
                <w:lang w:eastAsia="zh-CN"/>
              </w:rPr>
              <w:t>硫酸</w:t>
            </w:r>
          </w:p>
        </w:tc>
        <w:tc>
          <w:tcPr>
            <w:tcW w:w="1500" w:type="dxa"/>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3</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废脱脂液</w:t>
            </w:r>
          </w:p>
        </w:tc>
        <w:tc>
          <w:tcPr>
            <w:tcW w:w="112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r>
              <w:rPr>
                <w:rFonts w:hint="eastAsia" w:ascii="Times New Roman" w:hAnsi="Times New Roman" w:eastAsia="宋体" w:cs="Times New Roman"/>
                <w:b w:val="0"/>
                <w:bCs w:val="0"/>
                <w:color w:val="auto"/>
                <w:sz w:val="21"/>
                <w:szCs w:val="21"/>
                <w:vertAlign w:val="baseline"/>
                <w:lang w:val="en-US" w:eastAsia="zh-CN"/>
              </w:rPr>
              <w:t>0</w:t>
            </w:r>
            <w:r>
              <w:rPr>
                <w:rFonts w:hint="default" w:ascii="Times New Roman" w:hAnsi="Times New Roman" w:eastAsia="宋体" w:cs="Times New Roman"/>
                <w:b w:val="0"/>
                <w:bCs w:val="0"/>
                <w:color w:val="auto"/>
                <w:sz w:val="21"/>
                <w:szCs w:val="21"/>
                <w:vertAlign w:val="baseline"/>
                <w:lang w:val="en-US" w:eastAsia="zh-CN"/>
              </w:rPr>
              <w:t>67</w:t>
            </w:r>
          </w:p>
        </w:tc>
        <w:tc>
          <w:tcPr>
            <w:tcW w:w="1421"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Cs w:val="21"/>
                <w:lang w:eastAsia="zh-CN"/>
              </w:rPr>
              <w:t>柠檬酸</w:t>
            </w:r>
          </w:p>
        </w:tc>
        <w:tc>
          <w:tcPr>
            <w:tcW w:w="1500" w:type="dxa"/>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2</w:t>
            </w:r>
          </w:p>
        </w:tc>
        <w:tc>
          <w:tcPr>
            <w:tcW w:w="1176" w:type="dxa"/>
            <w:vAlign w:val="center"/>
          </w:tcPr>
          <w:p>
            <w:pPr>
              <w:spacing w:line="240" w:lineRule="auto"/>
              <w:jc w:val="center"/>
              <w:rPr>
                <w:rFonts w:hint="eastAsia"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eastAsia="zh-CN"/>
              </w:rPr>
              <w:t>废边角料</w:t>
            </w:r>
          </w:p>
        </w:tc>
        <w:tc>
          <w:tcPr>
            <w:tcW w:w="1122"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8</w:t>
            </w:r>
            <w:r>
              <w:rPr>
                <w:rFonts w:hint="default" w:ascii="Times New Roman" w:hAnsi="Times New Roman" w:eastAsia="宋体" w:cs="Times New Roman"/>
                <w:b w:val="0"/>
                <w:bCs w:val="0"/>
                <w:color w:val="auto"/>
                <w:sz w:val="21"/>
                <w:szCs w:val="21"/>
                <w:vertAlign w:val="baseline"/>
                <w:lang w:val="en-US" w:eastAsia="zh-CN"/>
              </w:rPr>
              <w:t>0</w:t>
            </w:r>
          </w:p>
        </w:tc>
        <w:tc>
          <w:tcPr>
            <w:tcW w:w="1421" w:type="dxa"/>
            <w:vAlign w:val="center"/>
          </w:tcPr>
          <w:p>
            <w:pPr>
              <w:spacing w:line="240" w:lineRule="auto"/>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Cs w:val="21"/>
                <w:lang w:eastAsia="zh-CN"/>
              </w:rPr>
              <w:t>无铬钝化液</w:t>
            </w:r>
          </w:p>
        </w:tc>
        <w:tc>
          <w:tcPr>
            <w:tcW w:w="1500" w:type="dxa"/>
            <w:vAlign w:val="center"/>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kern w:val="2"/>
                <w:sz w:val="21"/>
                <w:szCs w:val="21"/>
                <w:lang w:val="en-US" w:eastAsia="zh-CN" w:bidi="ar-SA"/>
              </w:rPr>
              <w:t>1.2</w:t>
            </w:r>
          </w:p>
        </w:tc>
        <w:tc>
          <w:tcPr>
            <w:tcW w:w="1176" w:type="dxa"/>
            <w:vAlign w:val="center"/>
          </w:tcPr>
          <w:p>
            <w:pPr>
              <w:spacing w:line="240" w:lineRule="auto"/>
              <w:jc w:val="center"/>
              <w:rPr>
                <w:rFonts w:hint="eastAsia"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eastAsia="zh-CN"/>
              </w:rPr>
              <w:t>废水</w:t>
            </w:r>
          </w:p>
        </w:tc>
        <w:tc>
          <w:tcPr>
            <w:tcW w:w="1122"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2864.6</w:t>
            </w:r>
          </w:p>
        </w:tc>
        <w:tc>
          <w:tcPr>
            <w:tcW w:w="1421" w:type="dxa"/>
            <w:vAlign w:val="center"/>
          </w:tcPr>
          <w:p>
            <w:pPr>
              <w:spacing w:line="240" w:lineRule="auto"/>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水</w:t>
            </w:r>
          </w:p>
        </w:tc>
        <w:tc>
          <w:tcPr>
            <w:tcW w:w="1500"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8755</w:t>
            </w:r>
          </w:p>
        </w:tc>
        <w:tc>
          <w:tcPr>
            <w:tcW w:w="1176"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112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21"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合计</w:t>
            </w:r>
          </w:p>
        </w:tc>
        <w:tc>
          <w:tcPr>
            <w:tcW w:w="1500" w:type="dxa"/>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9259.2</w:t>
            </w:r>
          </w:p>
        </w:tc>
        <w:tc>
          <w:tcPr>
            <w:tcW w:w="1176" w:type="dxa"/>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合计</w:t>
            </w:r>
          </w:p>
        </w:tc>
        <w:tc>
          <w:tcPr>
            <w:tcW w:w="1122"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9155.408</w:t>
            </w:r>
          </w:p>
        </w:tc>
        <w:tc>
          <w:tcPr>
            <w:tcW w:w="1421"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bl>
    <w:p>
      <w:pPr>
        <w:spacing w:line="360" w:lineRule="auto"/>
        <w:ind w:firstLine="480" w:firstLineChars="200"/>
        <w:jc w:val="left"/>
        <w:rPr>
          <w:rFonts w:hint="default" w:ascii="Times New Roman" w:hAnsi="Times New Roman" w:cs="Times New Roman"/>
          <w:b w:val="0"/>
          <w:bCs w:val="0"/>
          <w:color w:val="auto"/>
          <w:sz w:val="24"/>
          <w:szCs w:val="24"/>
          <w:highlight w:val="none"/>
          <w:lang w:eastAsia="zh-CN"/>
        </w:rPr>
      </w:pPr>
      <w:r>
        <w:rPr>
          <w:rFonts w:hint="default" w:ascii="Times New Roman" w:hAnsi="Times New Roman" w:cs="Times New Roman"/>
          <w:b w:val="0"/>
          <w:bCs w:val="0"/>
          <w:color w:val="auto"/>
          <w:sz w:val="24"/>
          <w:szCs w:val="24"/>
          <w:highlight w:val="none"/>
          <w:lang w:eastAsia="zh-CN"/>
        </w:rPr>
        <w:t>4.2.2 建立物料平衡</w:t>
      </w:r>
    </w:p>
    <w:p>
      <w:pPr>
        <w:spacing w:line="360" w:lineRule="auto"/>
        <w:ind w:firstLine="480" w:firstLineChars="200"/>
        <w:jc w:val="left"/>
        <w:rPr>
          <w:rFonts w:hint="default" w:ascii="Times New Roman" w:hAnsi="Times New Roman" w:cs="Times New Roman"/>
          <w:b w:val="0"/>
          <w:bCs w:val="0"/>
          <w:color w:val="auto"/>
          <w:sz w:val="24"/>
          <w:szCs w:val="24"/>
          <w:highlight w:val="none"/>
          <w:lang w:eastAsia="zh-CN"/>
        </w:rPr>
      </w:pPr>
      <w:r>
        <w:rPr>
          <w:rFonts w:hint="default" w:ascii="Times New Roman" w:hAnsi="Times New Roman" w:cs="Times New Roman"/>
          <w:b w:val="0"/>
          <w:bCs w:val="0"/>
          <w:color w:val="auto"/>
          <w:sz w:val="24"/>
          <w:szCs w:val="24"/>
          <w:highlight w:val="none"/>
          <w:lang w:eastAsia="zh-CN"/>
        </w:rPr>
        <w:t>物料平衡是为了准确地判断审核重点的物流量，定量地计算产品和废物的数量、成分以及去向，分析废物的产生量，分析减少排放量的可能性，为制定清洁生产方案提供数据支撑和科学依据。根据公司具体情况和特点，对项目电镀生产线进行物料平衡分析。现针对物料平衡分析，建立物料平衡。输入输出物料平衡，如下图所示。</w:t>
      </w:r>
    </w:p>
    <w:p>
      <w:pPr>
        <w:spacing w:line="360" w:lineRule="auto"/>
        <w:ind w:firstLine="480" w:firstLineChars="200"/>
        <w:jc w:val="center"/>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FF0000"/>
          <w:sz w:val="24"/>
          <w:szCs w:val="24"/>
          <w:lang w:eastAsia="zh-CN"/>
        </w:rPr>
        <w:object>
          <v:shape id="_x0000_i1060" o:spt="75" type="#_x0000_t75" style="height:168.7pt;width:242.3pt;" o:ole="t" filled="f" o:preferrelative="t" stroked="f" coordsize="21600,21600">
            <v:path/>
            <v:fill on="f" focussize="0,0"/>
            <v:stroke on="f"/>
            <v:imagedata r:id="rId84" o:title=""/>
            <o:lock v:ext="edit" aspectratio="t"/>
            <w10:wrap type="none"/>
            <w10:anchorlock/>
          </v:shape>
          <o:OLEObject Type="Embed" ProgID="Visio.Drawing.11" ShapeID="_x0000_i1060" DrawAspect="Content" ObjectID="_1468075761" r:id="rId83">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图</w:t>
      </w:r>
      <w:r>
        <w:rPr>
          <w:rFonts w:hint="default" w:ascii="Times New Roman" w:hAnsi="Times New Roman" w:cs="Times New Roman"/>
          <w:b w:val="0"/>
          <w:bCs w:val="0"/>
          <w:color w:val="auto"/>
          <w:sz w:val="24"/>
          <w:szCs w:val="24"/>
          <w:lang w:val="en-US" w:eastAsia="zh-CN"/>
        </w:rPr>
        <w:t>4-1  物料平衡图 单位：</w:t>
      </w:r>
      <w:r>
        <w:rPr>
          <w:rFonts w:hint="eastAsia" w:ascii="Times New Roman" w:hAnsi="Times New Roman" w:cs="Times New Roman"/>
          <w:b w:val="0"/>
          <w:bCs w:val="0"/>
          <w:color w:val="auto"/>
          <w:sz w:val="24"/>
          <w:szCs w:val="24"/>
          <w:lang w:val="en-US" w:eastAsia="zh-CN"/>
        </w:rPr>
        <w:t>t</w:t>
      </w:r>
    </w:p>
    <w:p>
      <w:pPr>
        <w:spacing w:line="360" w:lineRule="auto"/>
        <w:ind w:firstLine="480" w:firstLineChars="200"/>
        <w:jc w:val="left"/>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auto"/>
          <w:sz w:val="24"/>
          <w:szCs w:val="24"/>
          <w:lang w:eastAsia="zh-CN"/>
        </w:rPr>
        <w:t>由图 4-1，根据对企业生产过程中输入、输出物料的数据，进行物料衡算可得：实测期间，物料总输入量为</w:t>
      </w:r>
      <w:r>
        <w:rPr>
          <w:rFonts w:hint="eastAsia" w:ascii="Times New Roman" w:hAnsi="Times New Roman" w:cs="Times New Roman"/>
          <w:b w:val="0"/>
          <w:bCs w:val="0"/>
          <w:color w:val="auto"/>
          <w:sz w:val="24"/>
          <w:szCs w:val="24"/>
          <w:lang w:val="en-US" w:eastAsia="zh-CN"/>
        </w:rPr>
        <w:t>9259.2t</w:t>
      </w:r>
      <w:r>
        <w:rPr>
          <w:rFonts w:hint="default" w:ascii="Times New Roman" w:hAnsi="Times New Roman" w:cs="Times New Roman"/>
          <w:b w:val="0"/>
          <w:bCs w:val="0"/>
          <w:color w:val="auto"/>
          <w:sz w:val="24"/>
          <w:szCs w:val="24"/>
          <w:lang w:eastAsia="zh-CN"/>
        </w:rPr>
        <w:t>，物料总输出量为</w:t>
      </w:r>
      <w:r>
        <w:rPr>
          <w:rFonts w:hint="eastAsia" w:ascii="Times New Roman" w:hAnsi="Times New Roman" w:cs="Times New Roman"/>
          <w:b w:val="0"/>
          <w:bCs w:val="0"/>
          <w:color w:val="auto"/>
          <w:sz w:val="24"/>
          <w:szCs w:val="24"/>
          <w:lang w:val="en-US" w:eastAsia="zh-CN"/>
        </w:rPr>
        <w:t>9155.408t</w:t>
      </w:r>
      <w:r>
        <w:rPr>
          <w:rFonts w:hint="default" w:ascii="Times New Roman" w:hAnsi="Times New Roman" w:cs="Times New Roman"/>
          <w:b w:val="0"/>
          <w:bCs w:val="0"/>
          <w:color w:val="auto"/>
          <w:sz w:val="24"/>
          <w:szCs w:val="24"/>
          <w:lang w:eastAsia="zh-CN"/>
        </w:rPr>
        <w:t>，经计算物料平衡偏差为</w:t>
      </w:r>
      <w:r>
        <w:rPr>
          <w:rFonts w:hint="eastAsia" w:ascii="Times New Roman" w:hAnsi="Times New Roman" w:cs="Times New Roman"/>
          <w:b w:val="0"/>
          <w:bCs w:val="0"/>
          <w:color w:val="auto"/>
          <w:sz w:val="24"/>
          <w:szCs w:val="24"/>
          <w:lang w:val="en-US" w:eastAsia="zh-CN"/>
        </w:rPr>
        <w:t>1.13</w:t>
      </w:r>
      <w:r>
        <w:rPr>
          <w:rFonts w:hint="default" w:ascii="Times New Roman" w:hAnsi="Times New Roman" w:cs="Times New Roman"/>
          <w:b w:val="0"/>
          <w:bCs w:val="0"/>
          <w:color w:val="auto"/>
          <w:sz w:val="24"/>
          <w:szCs w:val="24"/>
          <w:lang w:eastAsia="zh-CN"/>
        </w:rPr>
        <w:t>%。</w:t>
      </w:r>
    </w:p>
    <w:p>
      <w:pPr>
        <w:spacing w:line="360" w:lineRule="auto"/>
        <w:ind w:firstLine="480" w:firstLineChars="200"/>
        <w:jc w:val="center"/>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object>
          <v:shape id="_x0000_i1061" o:spt="75" type="#_x0000_t75" style="height:102.75pt;width:294.75pt;" o:ole="t" filled="f" o:preferrelative="t" stroked="f" coordsize="21600,21600">
            <v:path/>
            <v:fill on="f" focussize="0,0"/>
            <v:stroke on="f"/>
            <v:imagedata r:id="rId86" o:title=""/>
            <o:lock v:ext="edit" aspectratio="t"/>
            <w10:wrap type="none"/>
            <w10:anchorlock/>
          </v:shape>
          <o:OLEObject Type="Embed" ProgID="Visio.Drawing.11" ShapeID="_x0000_i1061" DrawAspect="Content" ObjectID="_1468075762" r:id="rId85">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图</w:t>
      </w:r>
      <w:r>
        <w:rPr>
          <w:rFonts w:hint="default" w:ascii="Times New Roman" w:hAnsi="Times New Roman" w:cs="Times New Roman"/>
          <w:b w:val="0"/>
          <w:bCs w:val="0"/>
          <w:color w:val="auto"/>
          <w:sz w:val="24"/>
          <w:szCs w:val="24"/>
          <w:lang w:val="en-US" w:eastAsia="zh-CN"/>
        </w:rPr>
        <w:t>4-2  镍平衡图 单位：</w:t>
      </w:r>
      <w:r>
        <w:rPr>
          <w:rFonts w:hint="eastAsia" w:ascii="Times New Roman" w:hAnsi="Times New Roman" w:cs="Times New Roman"/>
          <w:b w:val="0"/>
          <w:bCs w:val="0"/>
          <w:color w:val="auto"/>
          <w:sz w:val="24"/>
          <w:szCs w:val="24"/>
          <w:lang w:val="en-US" w:eastAsia="zh-CN"/>
        </w:rPr>
        <w:t>t</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注：镍板含镍量为</w:t>
      </w:r>
      <w:r>
        <w:rPr>
          <w:rFonts w:hint="default" w:ascii="Times New Roman" w:hAnsi="Times New Roman" w:cs="Times New Roman"/>
          <w:b w:val="0"/>
          <w:bCs w:val="0"/>
          <w:color w:val="auto"/>
          <w:sz w:val="24"/>
          <w:szCs w:val="24"/>
          <w:lang w:val="en-US" w:eastAsia="zh-CN"/>
        </w:rPr>
        <w:t>99.98%，硫酸镍含镍量为22.3%，氯化镍含镍量为24.7%，</w:t>
      </w:r>
      <w:r>
        <w:rPr>
          <w:rFonts w:hint="default" w:ascii="Times New Roman" w:hAnsi="Times New Roman" w:cs="Times New Roman"/>
          <w:b w:val="0"/>
          <w:bCs w:val="0"/>
          <w:color w:val="auto"/>
          <w:sz w:val="24"/>
          <w:szCs w:val="24"/>
          <w:lang w:eastAsia="zh-CN"/>
        </w:rPr>
        <w:t>污泥含镍量约为</w:t>
      </w:r>
      <w:r>
        <w:rPr>
          <w:rFonts w:hint="default" w:ascii="Times New Roman" w:hAnsi="Times New Roman" w:cs="Times New Roman"/>
          <w:b w:val="0"/>
          <w:bCs w:val="0"/>
          <w:color w:val="auto"/>
          <w:sz w:val="24"/>
          <w:szCs w:val="24"/>
          <w:lang w:val="en-US" w:eastAsia="zh-CN"/>
        </w:rPr>
        <w:t>20%，电镀废渣含镍量约为70%，电池钢壳增重全部视为镀镍层。</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由图</w:t>
      </w:r>
      <w:r>
        <w:rPr>
          <w:rFonts w:hint="default" w:ascii="Times New Roman" w:hAnsi="Times New Roman" w:cs="Times New Roman"/>
          <w:b w:val="0"/>
          <w:bCs w:val="0"/>
          <w:color w:val="auto"/>
          <w:sz w:val="24"/>
          <w:szCs w:val="24"/>
          <w:lang w:val="en-US" w:eastAsia="zh-CN"/>
        </w:rPr>
        <w:t>4-2计算可知，镍输入量为</w:t>
      </w:r>
      <w:r>
        <w:rPr>
          <w:rFonts w:hint="eastAsia" w:ascii="Times New Roman" w:hAnsi="Times New Roman" w:cs="Times New Roman"/>
          <w:b w:val="0"/>
          <w:bCs w:val="0"/>
          <w:color w:val="auto"/>
          <w:sz w:val="24"/>
          <w:szCs w:val="24"/>
          <w:lang w:val="en-US" w:eastAsia="zh-CN"/>
        </w:rPr>
        <w:t>7.6916t</w:t>
      </w:r>
      <w:r>
        <w:rPr>
          <w:rFonts w:hint="default" w:ascii="Times New Roman" w:hAnsi="Times New Roman" w:cs="Times New Roman"/>
          <w:b w:val="0"/>
          <w:bCs w:val="0"/>
          <w:color w:val="auto"/>
          <w:sz w:val="24"/>
          <w:szCs w:val="24"/>
          <w:lang w:val="en-US" w:eastAsia="zh-CN"/>
        </w:rPr>
        <w:t>，输出量为</w:t>
      </w:r>
      <w:r>
        <w:rPr>
          <w:rFonts w:hint="eastAsia" w:ascii="Times New Roman" w:hAnsi="Times New Roman" w:cs="Times New Roman"/>
          <w:b w:val="0"/>
          <w:bCs w:val="0"/>
          <w:color w:val="auto"/>
          <w:sz w:val="24"/>
          <w:szCs w:val="24"/>
          <w:lang w:val="en-US" w:eastAsia="zh-CN"/>
        </w:rPr>
        <w:t>7.497t</w:t>
      </w:r>
      <w:r>
        <w:rPr>
          <w:rFonts w:hint="default" w:ascii="Times New Roman" w:hAnsi="Times New Roman" w:cs="Times New Roman"/>
          <w:b w:val="0"/>
          <w:bCs w:val="0"/>
          <w:color w:val="auto"/>
          <w:sz w:val="24"/>
          <w:szCs w:val="24"/>
          <w:lang w:val="en-US" w:eastAsia="zh-CN"/>
        </w:rPr>
        <w:t>，镍平衡偏差值为2.</w:t>
      </w:r>
      <w:r>
        <w:rPr>
          <w:rFonts w:hint="eastAsia" w:ascii="Times New Roman" w:hAnsi="Times New Roman" w:cs="Times New Roman"/>
          <w:b w:val="0"/>
          <w:bCs w:val="0"/>
          <w:color w:val="auto"/>
          <w:sz w:val="24"/>
          <w:szCs w:val="24"/>
          <w:lang w:val="en-US" w:eastAsia="zh-CN"/>
        </w:rPr>
        <w:t>53</w:t>
      </w:r>
      <w:r>
        <w:rPr>
          <w:rFonts w:hint="default" w:ascii="Times New Roman" w:hAnsi="Times New Roman" w:cs="Times New Roman"/>
          <w:b w:val="0"/>
          <w:bCs w:val="0"/>
          <w:color w:val="auto"/>
          <w:sz w:val="24"/>
          <w:szCs w:val="24"/>
          <w:lang w:val="en-US" w:eastAsia="zh-CN"/>
        </w:rPr>
        <w:t>%。</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4.2.3 阐述物料平衡结果</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根据企业202</w:t>
      </w:r>
      <w:r>
        <w:rPr>
          <w:rFonts w:hint="eastAsia" w:ascii="Times New Roman" w:hAnsi="Times New Roman" w:cs="Times New Roman"/>
          <w:b w:val="0"/>
          <w:bCs w:val="0"/>
          <w:color w:val="auto"/>
          <w:sz w:val="24"/>
          <w:szCs w:val="24"/>
          <w:lang w:val="en-US" w:eastAsia="zh-CN"/>
        </w:rPr>
        <w:t>0</w:t>
      </w:r>
      <w:r>
        <w:rPr>
          <w:rFonts w:hint="default" w:ascii="Times New Roman" w:hAnsi="Times New Roman" w:cs="Times New Roman"/>
          <w:b w:val="0"/>
          <w:bCs w:val="0"/>
          <w:color w:val="auto"/>
          <w:sz w:val="24"/>
          <w:szCs w:val="24"/>
          <w:lang w:eastAsia="zh-CN"/>
        </w:rPr>
        <w:t>年</w:t>
      </w:r>
      <w:r>
        <w:rPr>
          <w:rFonts w:hint="eastAsia" w:ascii="Times New Roman" w:hAnsi="Times New Roman" w:cs="Times New Roman"/>
          <w:b w:val="0"/>
          <w:bCs w:val="0"/>
          <w:color w:val="auto"/>
          <w:sz w:val="24"/>
          <w:szCs w:val="24"/>
          <w:lang w:eastAsia="zh-CN"/>
        </w:rPr>
        <w:t>全年</w:t>
      </w:r>
      <w:r>
        <w:rPr>
          <w:rFonts w:hint="default" w:ascii="Times New Roman" w:hAnsi="Times New Roman" w:cs="Times New Roman"/>
          <w:b w:val="0"/>
          <w:bCs w:val="0"/>
          <w:color w:val="auto"/>
          <w:sz w:val="24"/>
          <w:szCs w:val="24"/>
          <w:lang w:eastAsia="zh-CN"/>
        </w:rPr>
        <w:t>统计的数据对生产输入输出物料的总量进行了平衡计算，结果表明相对误差均小于5%，符合物料平衡测算的要求。出现偏差主要有以下一些原因：一是部分大气中的灰尘、气体等参与进入生产流程中；二是统计过程原始数据较多，计算过程存在一定的误差量；三是水蒸气和酸雾的产生量由产生系数计算而来，和实际情况会存在部分误差。</w:t>
      </w:r>
    </w:p>
    <w:p>
      <w:pPr>
        <w:pStyle w:val="5"/>
        <w:bidi w:val="0"/>
        <w:rPr>
          <w:rFonts w:hint="default" w:ascii="Times New Roman" w:hAnsi="Times New Roman" w:cs="Times New Roman"/>
          <w:lang w:eastAsia="zh-CN"/>
        </w:rPr>
      </w:pPr>
      <w:bookmarkStart w:id="104" w:name="_Toc10188"/>
      <w:r>
        <w:rPr>
          <w:rFonts w:hint="default" w:ascii="Times New Roman" w:hAnsi="Times New Roman" w:cs="Times New Roman"/>
          <w:lang w:eastAsia="zh-CN"/>
        </w:rPr>
        <w:t>4.3 分析问题产生的原因</w:t>
      </w:r>
      <w:bookmarkEnd w:id="104"/>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根据对审核重点的调查，结合物料、能源输入输出及产污排污情况，从生产中涉及到的原辅材料和能源、技术工艺、设备、过程控制、员工、管理、废弃物以及产品八个方面进行物料损失和污染物产生原因分析，以便为下一步有的放矢，提出清洁生产方案作好充分的准备。</w:t>
      </w:r>
    </w:p>
    <w:p>
      <w:pPr>
        <w:spacing w:line="360" w:lineRule="auto"/>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4-3  废弃物产生的主要问题及产生原因</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705"/>
        <w:gridCol w:w="660"/>
        <w:gridCol w:w="690"/>
        <w:gridCol w:w="705"/>
        <w:gridCol w:w="690"/>
        <w:gridCol w:w="675"/>
        <w:gridCol w:w="900"/>
        <w:gridCol w:w="81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主要问题</w:t>
            </w:r>
          </w:p>
        </w:tc>
        <w:tc>
          <w:tcPr>
            <w:tcW w:w="5842" w:type="dxa"/>
            <w:gridSpan w:val="8"/>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影响因素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原辅材料</w:t>
            </w:r>
          </w:p>
        </w:tc>
        <w:tc>
          <w:tcPr>
            <w:tcW w:w="66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技术工艺</w:t>
            </w: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设备</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过程控制</w:t>
            </w: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员工</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管理</w:t>
            </w:r>
          </w:p>
        </w:tc>
        <w:tc>
          <w:tcPr>
            <w:tcW w:w="9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废弃物</w:t>
            </w:r>
          </w:p>
        </w:tc>
        <w:tc>
          <w:tcPr>
            <w:tcW w:w="8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冲制工序废边角料</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6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9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车间内温度较高，水汽蒸发量较多</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66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9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8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r>
    </w:tbl>
    <w:p>
      <w:pPr>
        <w:spacing w:line="360" w:lineRule="auto"/>
        <w:ind w:firstLine="480" w:firstLineChars="200"/>
        <w:jc w:val="both"/>
        <w:rPr>
          <w:rFonts w:hint="default" w:ascii="Times New Roman" w:hAnsi="Times New Roman" w:cs="Times New Roman"/>
          <w:b w:val="0"/>
          <w:bCs w:val="0"/>
          <w:color w:val="auto"/>
          <w:sz w:val="24"/>
          <w:szCs w:val="24"/>
          <w:highlight w:val="none"/>
          <w:vertAlign w:val="baseline"/>
          <w:lang w:val="en-US" w:eastAsia="zh-CN"/>
        </w:rPr>
      </w:pPr>
      <w:r>
        <w:rPr>
          <w:rFonts w:hint="default" w:ascii="Times New Roman" w:hAnsi="Times New Roman" w:cs="Times New Roman"/>
          <w:b w:val="0"/>
          <w:bCs w:val="0"/>
          <w:color w:val="auto"/>
          <w:sz w:val="24"/>
          <w:szCs w:val="24"/>
          <w:highlight w:val="none"/>
          <w:vertAlign w:val="baseline"/>
          <w:lang w:val="en-US" w:eastAsia="zh-CN"/>
        </w:rPr>
        <w:t>由上表可知，本项目生产过程产生废弃物的主要问题为冲制工序产生的废边角料较多和车间内水汽蒸发量较大。其具体表现在：</w:t>
      </w:r>
    </w:p>
    <w:p>
      <w:pPr>
        <w:numPr>
          <w:ilvl w:val="0"/>
          <w:numId w:val="2"/>
        </w:numPr>
        <w:spacing w:line="360" w:lineRule="auto"/>
        <w:ind w:firstLine="480" w:firstLineChars="200"/>
        <w:jc w:val="both"/>
        <w:rPr>
          <w:rFonts w:hint="default" w:ascii="Times New Roman" w:hAnsi="Times New Roman" w:cs="Times New Roman"/>
          <w:b w:val="0"/>
          <w:bCs w:val="0"/>
          <w:color w:val="auto"/>
          <w:sz w:val="24"/>
          <w:szCs w:val="24"/>
          <w:highlight w:val="none"/>
          <w:vertAlign w:val="baseline"/>
          <w:lang w:val="en-US" w:eastAsia="zh-CN"/>
        </w:rPr>
      </w:pPr>
      <w:r>
        <w:rPr>
          <w:rFonts w:hint="default" w:ascii="Times New Roman" w:hAnsi="Times New Roman" w:cs="Times New Roman"/>
          <w:b w:val="0"/>
          <w:bCs w:val="0"/>
          <w:color w:val="auto"/>
          <w:sz w:val="24"/>
          <w:szCs w:val="24"/>
          <w:highlight w:val="none"/>
          <w:vertAlign w:val="baseline"/>
          <w:lang w:val="en-US" w:eastAsia="zh-CN"/>
        </w:rPr>
        <w:t>技术工艺：项目目前采用的冲制工艺为自动化机械冲制，生产过程中机械操作对边角料的产生影响较大，相比人工控制废料产生率较高。</w:t>
      </w:r>
    </w:p>
    <w:p>
      <w:pPr>
        <w:numPr>
          <w:ilvl w:val="0"/>
          <w:numId w:val="2"/>
        </w:numPr>
        <w:spacing w:line="360" w:lineRule="auto"/>
        <w:ind w:firstLine="480" w:firstLineChars="20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设备：项目采用的冲制设备为外购的标准15T冲床，使用过程中由于机械老化等原因会产生部分抛锚现象，使得物料产生浪费。车间内废气收集装置对水蒸气的吸收能力较差，空气流动性差，导则车间温度较高。</w:t>
      </w:r>
    </w:p>
    <w:p>
      <w:pPr>
        <w:numPr>
          <w:ilvl w:val="0"/>
          <w:numId w:val="2"/>
        </w:numPr>
        <w:spacing w:line="360" w:lineRule="auto"/>
        <w:ind w:firstLine="480" w:firstLineChars="20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过程控制：更新冲床操作流程，完善程序设定可以更好的完善作业流程，减少物料损失。</w:t>
      </w:r>
    </w:p>
    <w:p>
      <w:pPr>
        <w:numPr>
          <w:ilvl w:val="0"/>
          <w:numId w:val="2"/>
        </w:numPr>
        <w:spacing w:line="360" w:lineRule="auto"/>
        <w:ind w:firstLine="480" w:firstLineChars="20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管理：强化人工和设备的管理能有效降低废弃物的排放量。</w:t>
      </w:r>
    </w:p>
    <w:p>
      <w:pPr>
        <w:pStyle w:val="5"/>
        <w:bidi w:val="0"/>
        <w:rPr>
          <w:rFonts w:hint="default" w:ascii="Times New Roman" w:hAnsi="Times New Roman" w:cs="Times New Roman"/>
          <w:lang w:eastAsia="zh-CN"/>
        </w:rPr>
      </w:pPr>
      <w:bookmarkStart w:id="105" w:name="_Toc12815"/>
      <w:r>
        <w:rPr>
          <w:rFonts w:hint="default" w:ascii="Times New Roman" w:hAnsi="Times New Roman" w:cs="Times New Roman"/>
          <w:lang w:eastAsia="zh-CN"/>
        </w:rPr>
        <w:t>4.4 提出清洁生产方案</w:t>
      </w:r>
      <w:bookmarkEnd w:id="105"/>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在对物耗高、能耗高、污染物产生的八个方面即原辅材料和能源、生产工艺技术、设备、过程控制、产品方案、废弃物、管理及员工的详细分析后，审核小组提出的清洁生产方案见表</w:t>
      </w:r>
      <w:r>
        <w:rPr>
          <w:rFonts w:hint="default" w:ascii="Times New Roman" w:hAnsi="Times New Roman" w:cs="Times New Roman"/>
          <w:b w:val="0"/>
          <w:bCs w:val="0"/>
          <w:color w:val="auto"/>
          <w:sz w:val="24"/>
          <w:szCs w:val="24"/>
          <w:lang w:val="en-US" w:eastAsia="zh-CN"/>
        </w:rPr>
        <w:t>4-4</w:t>
      </w:r>
      <w:r>
        <w:rPr>
          <w:rFonts w:hint="default" w:ascii="Times New Roman" w:hAnsi="Times New Roman" w:cs="Times New Roman"/>
          <w:b w:val="0"/>
          <w:bCs w:val="0"/>
          <w:color w:val="auto"/>
          <w:sz w:val="24"/>
          <w:szCs w:val="24"/>
          <w:lang w:eastAsia="zh-CN"/>
        </w:rPr>
        <w:t>。</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4-4    审核阶段产生的清洁生产方案</w:t>
      </w:r>
    </w:p>
    <w:tbl>
      <w:tblPr>
        <w:tblStyle w:val="2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160"/>
        <w:gridCol w:w="3678"/>
        <w:gridCol w:w="173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方案名称</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方案内容</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投资</w:t>
            </w:r>
          </w:p>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F01</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加强设备维护及保洁</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每天下班后清洁工作面及地面，把机器擦洗干净</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F02</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强化生产管理</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对设备定期维修，减少物料流失和节能降耗</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F03</w:t>
            </w:r>
          </w:p>
        </w:tc>
        <w:tc>
          <w:tcPr>
            <w:tcW w:w="2160" w:type="dxa"/>
            <w:tcBorders>
              <w:tl2br w:val="nil"/>
              <w:tr2bl w:val="nil"/>
            </w:tcBorders>
            <w:noWrap w:val="0"/>
            <w:vAlign w:val="center"/>
          </w:tcPr>
          <w:p>
            <w:pPr>
              <w:spacing w:line="240" w:lineRule="auto"/>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w:t>
            </w:r>
            <w:r>
              <w:rPr>
                <w:rFonts w:hint="eastAsia" w:ascii="Times New Roman" w:hAnsi="Times New Roman" w:eastAsia="宋体" w:cs="Times New Roman"/>
                <w:sz w:val="21"/>
                <w:szCs w:val="21"/>
                <w:lang w:eastAsia="zh-CN"/>
              </w:rPr>
              <w:t>、补充用水计量装置</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定期检查、校正各种计量设备，保证投入的原料最优化，</w:t>
            </w:r>
            <w:r>
              <w:rPr>
                <w:rFonts w:hint="default" w:ascii="Times New Roman" w:hAnsi="Times New Roman" w:eastAsia="宋体" w:cs="Times New Roman"/>
                <w:sz w:val="21"/>
                <w:szCs w:val="21"/>
                <w:lang w:eastAsia="zh-CN"/>
              </w:rPr>
              <w:t>防止</w:t>
            </w:r>
            <w:r>
              <w:rPr>
                <w:rFonts w:hint="default" w:ascii="Times New Roman" w:hAnsi="Times New Roman" w:eastAsia="宋体" w:cs="Times New Roman"/>
                <w:sz w:val="21"/>
                <w:szCs w:val="21"/>
              </w:rPr>
              <w:t>由于计量设备的误差造成原料的浪费</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F04</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定期检查各项污染防治措施</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对各项污染防治措施定期检查，发现问题及时检修，防止水、气、电、渣等污染事故的发生</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F05</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 、电节能利用</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养成不用的时候随手关水、关电的好习惯</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F06</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制定清洁生产培训计划，定期对员工进行相关知识培训</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F07</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厂区收集的一般工业固体废物和危险废物在暂存间内</w:t>
            </w:r>
            <w:r>
              <w:rPr>
                <w:rFonts w:hint="default" w:ascii="Times New Roman" w:hAnsi="Times New Roman" w:eastAsia="宋体" w:cs="Times New Roman"/>
                <w:sz w:val="21"/>
                <w:szCs w:val="21"/>
              </w:rPr>
              <w:t>分类存放，合理处置</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F08</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节省纸张</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加强办公耗材管理</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F09</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维修工具定点存放方便使用、强化操作工的安全意识和熟练度、每天下班检查和保养设备，有故障时及时维修，保证第二天正常使用</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F10</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备品备件齐全</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常用备品备件齐全，设备故障时能及时更换</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F11</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完善岗位操作规范，定期对员工进行培训和考核</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F12</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产品防潮、防尘、防火</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加强管理，做好产品的防尘、防潮、防火</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F13</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制定合理的奖惩制度，根据完成情况有得有失，提高员工的整体素质，充分发挥职工潜能</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F14</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加强安全教育</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加强员工安全教育，杜绝任何安全事故的发生</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F15</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增加垃圾桶数量，改善车间环境</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F16</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及时调整工作班次</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根据生产任务量安排生产，节省人工支出，降低人工成本</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F17</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应急预案的建立</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建立关于危险化学使用、储存，机械操作的应急预案并进行演练，防患未然</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F18</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设备使用规章制度</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完善设备使用规章制度，同时建立监督机制，</w:t>
            </w:r>
            <w:r>
              <w:rPr>
                <w:rFonts w:hint="default" w:ascii="Times New Roman" w:hAnsi="Times New Roman" w:eastAsia="宋体" w:cs="Times New Roman"/>
                <w:sz w:val="21"/>
                <w:szCs w:val="21"/>
                <w:lang w:eastAsia="zh-CN"/>
              </w:rPr>
              <w:t>延长</w:t>
            </w:r>
            <w:r>
              <w:rPr>
                <w:rFonts w:hint="default" w:ascii="Times New Roman" w:hAnsi="Times New Roman" w:eastAsia="宋体" w:cs="Times New Roman"/>
                <w:sz w:val="21"/>
                <w:szCs w:val="21"/>
              </w:rPr>
              <w:t>设备使用年限</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F19</w:t>
            </w:r>
          </w:p>
        </w:tc>
        <w:tc>
          <w:tcPr>
            <w:tcW w:w="216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酸雾处理</w:t>
            </w:r>
          </w:p>
        </w:tc>
        <w:tc>
          <w:tcPr>
            <w:tcW w:w="3678"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对现有酸雾吸收塔进行升级改造，内部设置二级碱吸收和自动投药，收集装置处将原有顶吸集气更换为侧吸</w:t>
            </w:r>
            <w:r>
              <w:rPr>
                <w:rFonts w:hint="eastAsia" w:ascii="Times New Roman" w:hAnsi="Times New Roman" w:eastAsia="宋体" w:cs="Times New Roman"/>
                <w:sz w:val="21"/>
                <w:szCs w:val="21"/>
                <w:lang w:val="en-US" w:eastAsia="zh-CN"/>
              </w:rPr>
              <w:t>+顶吸</w:t>
            </w:r>
            <w:r>
              <w:rPr>
                <w:rFonts w:hint="default" w:ascii="Times New Roman" w:hAnsi="Times New Roman" w:eastAsia="宋体" w:cs="Times New Roman"/>
                <w:sz w:val="21"/>
                <w:szCs w:val="21"/>
                <w:lang w:eastAsia="zh-CN"/>
              </w:rPr>
              <w:t>集气</w:t>
            </w:r>
          </w:p>
        </w:tc>
        <w:tc>
          <w:tcPr>
            <w:tcW w:w="1733"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F20</w:t>
            </w:r>
          </w:p>
        </w:tc>
        <w:tc>
          <w:tcPr>
            <w:tcW w:w="216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生产废水分类处理</w:t>
            </w:r>
          </w:p>
        </w:tc>
        <w:tc>
          <w:tcPr>
            <w:tcW w:w="3678"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highlight w:val="none"/>
                <w:lang w:eastAsia="zh-CN"/>
              </w:rPr>
              <w:t>新建一座含镍废水处理站，将含镍废水和不含镍废水分开处理，扩大污水处理站水池，增加废水停留时间</w:t>
            </w:r>
          </w:p>
        </w:tc>
        <w:tc>
          <w:tcPr>
            <w:tcW w:w="1733"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60</w:t>
            </w:r>
          </w:p>
        </w:tc>
      </w:tr>
    </w:tbl>
    <w:p>
      <w:pPr>
        <w:spacing w:line="360" w:lineRule="auto"/>
        <w:jc w:val="left"/>
        <w:rPr>
          <w:rFonts w:hint="default" w:ascii="Times New Roman" w:hAnsi="Times New Roman" w:cs="Times New Roman"/>
          <w:b w:val="0"/>
          <w:bCs w:val="0"/>
          <w:sz w:val="24"/>
          <w:szCs w:val="24"/>
          <w:lang w:val="en-US" w:eastAsia="zh-CN"/>
        </w:rPr>
      </w:pPr>
    </w:p>
    <w:p>
      <w:pPr>
        <w:pStyle w:val="20"/>
        <w:rPr>
          <w:rFonts w:hint="default" w:ascii="Times New Roman" w:hAnsi="Times New Roman" w:cs="Times New Roman"/>
          <w:b w:val="0"/>
          <w:bCs w:val="0"/>
          <w:sz w:val="24"/>
          <w:szCs w:val="24"/>
          <w:lang w:val="en-US" w:eastAsia="zh-CN"/>
        </w:rPr>
      </w:pPr>
    </w:p>
    <w:p>
      <w:pPr>
        <w:rPr>
          <w:rFonts w:hint="default" w:ascii="Times New Roman" w:hAnsi="Times New Roman" w:cs="Times New Roman"/>
          <w:b w:val="0"/>
          <w:bCs w:val="0"/>
          <w:sz w:val="24"/>
          <w:szCs w:val="24"/>
          <w:lang w:val="en-US" w:eastAsia="zh-CN"/>
        </w:rPr>
      </w:pPr>
    </w:p>
    <w:p>
      <w:pPr>
        <w:pStyle w:val="20"/>
        <w:rPr>
          <w:rFonts w:hint="default" w:ascii="Times New Roman" w:hAnsi="Times New Roman" w:cs="Times New Roman"/>
          <w:b w:val="0"/>
          <w:bCs w:val="0"/>
          <w:sz w:val="24"/>
          <w:szCs w:val="24"/>
          <w:lang w:val="en-US" w:eastAsia="zh-CN"/>
        </w:rPr>
      </w:pPr>
    </w:p>
    <w:p>
      <w:pPr>
        <w:rPr>
          <w:rFonts w:hint="default" w:ascii="Times New Roman" w:hAnsi="Times New Roman" w:cs="Times New Roman"/>
          <w:b w:val="0"/>
          <w:bCs w:val="0"/>
          <w:sz w:val="24"/>
          <w:szCs w:val="24"/>
          <w:lang w:val="en-US" w:eastAsia="zh-CN"/>
        </w:rPr>
      </w:pPr>
    </w:p>
    <w:p>
      <w:pPr>
        <w:pStyle w:val="20"/>
        <w:rPr>
          <w:rFonts w:hint="default" w:ascii="Times New Roman" w:hAnsi="Times New Roman" w:cs="Times New Roman"/>
          <w:b w:val="0"/>
          <w:bCs w:val="0"/>
          <w:sz w:val="24"/>
          <w:szCs w:val="24"/>
          <w:lang w:val="en-US" w:eastAsia="zh-CN"/>
        </w:rPr>
      </w:pPr>
    </w:p>
    <w:p>
      <w:pPr>
        <w:rPr>
          <w:rFonts w:hint="default" w:ascii="Times New Roman" w:hAnsi="Times New Roman" w:cs="Times New Roman"/>
          <w:b w:val="0"/>
          <w:bCs w:val="0"/>
          <w:sz w:val="24"/>
          <w:szCs w:val="24"/>
          <w:lang w:val="en-US" w:eastAsia="zh-CN"/>
        </w:rPr>
      </w:pPr>
    </w:p>
    <w:p>
      <w:pPr>
        <w:pStyle w:val="20"/>
        <w:rPr>
          <w:rFonts w:hint="default" w:ascii="Times New Roman" w:hAnsi="Times New Roman" w:cs="Times New Roman"/>
          <w:b w:val="0"/>
          <w:bCs w:val="0"/>
          <w:sz w:val="24"/>
          <w:szCs w:val="24"/>
          <w:lang w:val="en-US" w:eastAsia="zh-CN"/>
        </w:rPr>
      </w:pPr>
    </w:p>
    <w:p>
      <w:pPr>
        <w:pStyle w:val="3"/>
        <w:bidi w:val="0"/>
        <w:jc w:val="center"/>
        <w:rPr>
          <w:rFonts w:hint="default" w:ascii="Times New Roman" w:hAnsi="Times New Roman" w:cs="Times New Roman"/>
          <w:lang w:val="en-US" w:eastAsia="zh-CN"/>
        </w:rPr>
      </w:pPr>
      <w:bookmarkStart w:id="106" w:name="_Toc2189"/>
      <w:r>
        <w:rPr>
          <w:rFonts w:hint="default" w:ascii="Times New Roman" w:hAnsi="Times New Roman" w:cs="Times New Roman"/>
          <w:lang w:val="en-US" w:eastAsia="zh-CN"/>
        </w:rPr>
        <w:t>第五章 方案的产生和筛选</w:t>
      </w:r>
      <w:bookmarkEnd w:id="106"/>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本阶段的目的是通过方案的产生、筛选、研制，为下一阶段的可行性分析提 供中高费方案。根据对物料流失、资源浪费、污染物产生和排放分析的结果，提 出清洁生产方案，进行方案的初步筛选，确定出中/高费方案供下一阶段进行可行性分析；汇总审核过程中已实施的无/低费清洁生产方案，编写清洁生产中期审核验收报告。</w:t>
      </w:r>
    </w:p>
    <w:p>
      <w:pPr>
        <w:pStyle w:val="5"/>
        <w:bidi w:val="0"/>
        <w:rPr>
          <w:rFonts w:hint="default" w:ascii="Times New Roman" w:hAnsi="Times New Roman" w:cs="Times New Roman"/>
          <w:lang w:val="en-US" w:eastAsia="zh-CN"/>
        </w:rPr>
      </w:pPr>
      <w:bookmarkStart w:id="107" w:name="_Toc24371"/>
      <w:r>
        <w:rPr>
          <w:rFonts w:hint="default" w:ascii="Times New Roman" w:hAnsi="Times New Roman" w:cs="Times New Roman"/>
          <w:lang w:val="en-US" w:eastAsia="zh-CN"/>
        </w:rPr>
        <w:t>5.1 方案的产生</w:t>
      </w:r>
      <w:bookmarkEnd w:id="107"/>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清洁生产方案的数量、质量和可实施性直接关系到企业清洁生产审核的成效，是审核过程的一个关键环节，因此应广泛发动群众征集、产生各类方案。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（1）广泛采集，创新思路</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在全厂范围内利用各种渠道和多种形式，进行宣传动员，鼓励全体员工提出清洁生产方案或合理化建议。通过实例教育，克服思想障碍，制定奖励措施以鼓励创造性思想和方案的产生。</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（2）根据物料平衡和针对废弃物产生原因分析产生方案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进行物料平衡和废弃物产生分析的目的就是要为清洁生产方案的产生提供依据。因此方案的产生要紧密结合这些结果，只有这样才能使所产生的方案具有针对性。</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（3）广泛收集国内外同行业先进技术</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类比是产生方案的一种快捷、有效的方法。应组织工程技术人员广泛收集国内外同行业的先进技术，并以此为基础，原因结合本企业的实际情况，制定清洁生产方案。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（4）组织行业专家进行技术咨询</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当企业利用本身的力量难以完成某些方案的产生时，可以借助于外部力量，组织行业专家进行技术咨询，这对启发思路、畅通信息将会很有帮助。</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（5）全面系统地产生方案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涉及企业生产和管理的各个方面，虽然物料平衡和废弃物产生原因分析将大大有助于方案的产生，但是在其他方面可能也存在着一些清洁生产机会，因而可从影响生产过程的八个方面全面系统地产生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①原辅材料和能源替代；</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②技术工艺改造；</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③设备维护和更新；</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④过程优化控制；</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⑤产品更换或改进；</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⑥废弃物回收利用和循环使用；</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⑦加强管理；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⑧员工素质的提高以及积极性的激励。</w:t>
      </w:r>
    </w:p>
    <w:p>
      <w:pPr>
        <w:pStyle w:val="5"/>
        <w:bidi w:val="0"/>
        <w:rPr>
          <w:rFonts w:hint="default" w:ascii="Times New Roman" w:hAnsi="Times New Roman" w:cs="Times New Roman"/>
          <w:lang w:val="en-US" w:eastAsia="zh-CN"/>
        </w:rPr>
      </w:pPr>
      <w:bookmarkStart w:id="108" w:name="_Toc24340"/>
      <w:r>
        <w:rPr>
          <w:rFonts w:hint="default" w:ascii="Times New Roman" w:hAnsi="Times New Roman" w:cs="Times New Roman"/>
          <w:lang w:val="en-US" w:eastAsia="zh-CN"/>
        </w:rPr>
        <w:t>5.2 方案的分类和汇总</w:t>
      </w:r>
      <w:bookmarkEnd w:id="108"/>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轮清洁生产审核共产生20个方案，按原辅材料和能源使用和替代、技术工艺改造、设备维护和更新、过程优化控制、产品更换或改进、废弃物回收利用和循环使用、加强管理和员工素质的提高以及积极性的激励八个方面进行分类汇总。具体方案内容详见下表。</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表5-1     清洁生产方案汇总表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615"/>
        <w:gridCol w:w="1440"/>
        <w:gridCol w:w="4500"/>
        <w:gridCol w:w="1425"/>
        <w:gridCol w:w="2295"/>
        <w:gridCol w:w="304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分类</w:t>
            </w:r>
          </w:p>
        </w:tc>
        <w:tc>
          <w:tcPr>
            <w:tcW w:w="61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144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方案名称</w:t>
            </w:r>
          </w:p>
        </w:tc>
        <w:tc>
          <w:tcPr>
            <w:tcW w:w="450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方案内容</w:t>
            </w:r>
          </w:p>
        </w:tc>
        <w:tc>
          <w:tcPr>
            <w:tcW w:w="142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预计投资（万元）</w:t>
            </w:r>
          </w:p>
        </w:tc>
        <w:tc>
          <w:tcPr>
            <w:tcW w:w="533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4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450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2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环境效益</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val="en-US" w:eastAsia="zh-CN"/>
              </w:rPr>
              <w:t>原辅材料和能源使用和替代</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F03</w:t>
            </w:r>
          </w:p>
        </w:tc>
        <w:tc>
          <w:tcPr>
            <w:tcW w:w="1440" w:type="dxa"/>
            <w:tcBorders>
              <w:tl2br w:val="nil"/>
              <w:tr2bl w:val="nil"/>
            </w:tcBorders>
            <w:vAlign w:val="center"/>
          </w:tcPr>
          <w:p>
            <w:pPr>
              <w:spacing w:line="240" w:lineRule="auto"/>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w:t>
            </w:r>
            <w:r>
              <w:rPr>
                <w:rFonts w:hint="eastAsia" w:ascii="Times New Roman" w:hAnsi="Times New Roman" w:eastAsia="宋体" w:cs="Times New Roman"/>
                <w:sz w:val="21"/>
                <w:szCs w:val="21"/>
                <w:lang w:eastAsia="zh-CN"/>
              </w:rPr>
              <w:t>、补充用水计量装置</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定期检查、校正各种计量设备，保证投入的原料最优化，</w:t>
            </w:r>
            <w:r>
              <w:rPr>
                <w:rFonts w:hint="default" w:ascii="Times New Roman" w:hAnsi="Times New Roman" w:eastAsia="宋体" w:cs="Times New Roman"/>
                <w:sz w:val="21"/>
                <w:szCs w:val="21"/>
                <w:lang w:eastAsia="zh-CN"/>
              </w:rPr>
              <w:t>防止</w:t>
            </w:r>
            <w:r>
              <w:rPr>
                <w:rFonts w:hint="default" w:ascii="Times New Roman" w:hAnsi="Times New Roman" w:eastAsia="宋体" w:cs="Times New Roman"/>
                <w:sz w:val="21"/>
                <w:szCs w:val="21"/>
              </w:rPr>
              <w:t>由于计量设备的误差造成原料的浪费</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降低原料非正常损耗</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节约成本</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F05</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水 、电节能利用</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养成不用的时候随手关水、关电的好习惯</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每年可节约用电2000kw·h，节约用水1800m</w:t>
            </w:r>
            <w:r>
              <w:rPr>
                <w:rFonts w:hint="default" w:ascii="Times New Roman" w:hAnsi="Times New Roman" w:eastAsia="宋体" w:cs="Times New Roman"/>
                <w:b w:val="0"/>
                <w:bCs w:val="0"/>
                <w:color w:val="auto"/>
                <w:sz w:val="21"/>
                <w:szCs w:val="21"/>
                <w:vertAlign w:val="superscript"/>
                <w:lang w:val="en-US" w:eastAsia="zh-CN"/>
              </w:rPr>
              <w:t>3</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w:t>
            </w: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8</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节省纸张</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加强办公耗材管理</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降低生产办公成本</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节约办公支出约200元/年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val="en-US" w:eastAsia="zh-CN"/>
              </w:rPr>
              <w:t>技术工艺改造</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F19</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酸雾处理</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对现有酸雾吸收塔进行升级改造，内部设置二级碱吸收和自动投药，收集装置处将原有顶吸集气更换为侧吸</w:t>
            </w:r>
            <w:r>
              <w:rPr>
                <w:rFonts w:hint="eastAsia" w:ascii="Times New Roman" w:hAnsi="Times New Roman" w:eastAsia="宋体" w:cs="Times New Roman"/>
                <w:sz w:val="21"/>
                <w:szCs w:val="21"/>
                <w:lang w:val="en-US" w:eastAsia="zh-CN"/>
              </w:rPr>
              <w:t>+顶吸</w:t>
            </w:r>
            <w:r>
              <w:rPr>
                <w:rFonts w:hint="default" w:ascii="Times New Roman" w:hAnsi="Times New Roman" w:eastAsia="宋体" w:cs="Times New Roman"/>
                <w:sz w:val="21"/>
                <w:szCs w:val="21"/>
                <w:lang w:eastAsia="zh-CN"/>
              </w:rPr>
              <w:t>集气</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提高酸雾处理效率，延长机械设备使用寿命</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F20</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生产废水分类处理</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新建一座含镍废水处理站，将含镍废水和不含镍废水分开处理，扩大污水处理站水池，增加废水停留时间</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提高废水处理效率</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val="en-US" w:eastAsia="zh-CN"/>
              </w:rPr>
              <w:t>设备维护和更新</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rPr>
              <w:t>F01</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rPr>
              <w:t>加强设备维护及保洁</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rPr>
              <w:t>每天下班后清洁工作面及地面，把机器擦洗干净</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rPr>
              <w:t>0.5</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延长机械设备使用寿命</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w:t>
            </w: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9</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维修工具定点存放方便使用、强化操作工的安全意识和熟练度、每天下班检查和保养设备，有故障时及时维修，保证第二天正常使用</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减少机械事故，减少非正常工况产生</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F10</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备品备件齐全</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常用备品备件齐全，设备故障时能及时更换</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避免生产线故障停运，减少经济损失</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F18</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设备使用规章制度</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完善设备使用规章制度，同时建立监督机制，</w:t>
            </w:r>
            <w:r>
              <w:rPr>
                <w:rFonts w:hint="default" w:ascii="Times New Roman" w:hAnsi="Times New Roman" w:eastAsia="宋体" w:cs="Times New Roman"/>
                <w:sz w:val="21"/>
                <w:szCs w:val="21"/>
                <w:lang w:eastAsia="zh-CN"/>
              </w:rPr>
              <w:t>延长</w:t>
            </w:r>
            <w:r>
              <w:rPr>
                <w:rFonts w:hint="default" w:ascii="Times New Roman" w:hAnsi="Times New Roman" w:eastAsia="宋体" w:cs="Times New Roman"/>
                <w:sz w:val="21"/>
                <w:szCs w:val="21"/>
              </w:rPr>
              <w:t>设备使用年限</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延长机械设备使用寿命</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val="en-US" w:eastAsia="zh-CN"/>
              </w:rPr>
              <w:t>加强管理</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F02</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强化生产管理</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对设备定期维修，减少物料流失和节能降耗</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1</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延长机械设备使用寿命，减少故障产生，节约原辅材料和能源消耗</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F04</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定期检查各项污染防治措施</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对各项污染防治措施定期检查，发现问题及时检修，防止水、气、电、渣等污染事故的发生</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保障污染物得到处理，保护环境</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w:t>
            </w: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7</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厂区收集的一般工业固体废物和危险废物在暂存间内</w:t>
            </w:r>
            <w:r>
              <w:rPr>
                <w:rFonts w:hint="default" w:ascii="Times New Roman" w:hAnsi="Times New Roman" w:eastAsia="宋体" w:cs="Times New Roman"/>
                <w:sz w:val="21"/>
                <w:szCs w:val="21"/>
              </w:rPr>
              <w:t>分类存放，合理处置</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0.05</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保障污染物得到处理，保护环境</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F12</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产品防潮、防尘、防火</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加强管理，做好产品的防尘、防潮、防火</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防止产品因存放措施不合格产生锈蚀</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F15</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增加垃圾桶数量，改善车间环境</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保障污染物得到处理，保护环境</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F16</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及时调整工作班次</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根据生产任务量安排生产，节省人工支出，降低人工成本</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节省人工支出</w:t>
            </w:r>
            <w:r>
              <w:rPr>
                <w:rFonts w:hint="default" w:ascii="Times New Roman" w:hAnsi="Times New Roman" w:eastAsia="宋体" w:cs="Times New Roman"/>
                <w:sz w:val="21"/>
                <w:szCs w:val="21"/>
              </w:rPr>
              <w:t>，降低人工成本</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可节省人工成本</w:t>
            </w:r>
            <w:r>
              <w:rPr>
                <w:rFonts w:hint="eastAsia" w:ascii="Times New Roman" w:hAnsi="Times New Roman" w:eastAsia="宋体" w:cs="Times New Roman"/>
                <w:b w:val="0"/>
                <w:bCs w:val="0"/>
                <w:color w:val="auto"/>
                <w:sz w:val="21"/>
                <w:szCs w:val="21"/>
                <w:vertAlign w:val="baseline"/>
                <w:lang w:val="en-US" w:eastAsia="zh-CN"/>
              </w:rPr>
              <w:t>8</w:t>
            </w:r>
            <w:r>
              <w:rPr>
                <w:rFonts w:hint="default" w:ascii="Times New Roman" w:hAnsi="Times New Roman" w:eastAsia="宋体" w:cs="Times New Roman"/>
                <w:b w:val="0"/>
                <w:bCs w:val="0"/>
                <w:color w:val="auto"/>
                <w:sz w:val="21"/>
                <w:szCs w:val="21"/>
                <w:vertAlign w:val="baseline"/>
                <w:lang w:val="en-US" w:eastAsia="zh-CN"/>
              </w:rPr>
              <w:t>万元/年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员工素质的提高以及积极性的激励</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w:t>
            </w: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6</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制定清洁生产培训计划，定期对员工进行相关知识培训</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c>
          <w:tcPr>
            <w:tcW w:w="533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提高环保认识，利于节能降耗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90"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F11</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完善岗位操作规范，定期对员工进行培训和考核</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间接效益</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稳定产品质量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F13</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制定合理的奖惩制度，根据完成情况有得有失，提高员工的整体素质，充分发挥职工潜能</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提高员工生产积极性</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稳定产品质量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F14</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加强安全教育</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加强员工安全教育，杜绝任何安全事故的发生</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提高员工整体素质</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减少突发事故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F17</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应急预案的建立</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建立关于危险化学使用、储存，机械操作的应急预案并进行演练，防患未然</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提高员工整体素质</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减少突发事故</w:t>
            </w:r>
          </w:p>
        </w:tc>
      </w:tr>
    </w:tbl>
    <w:p>
      <w:pPr>
        <w:pStyle w:val="20"/>
        <w:rPr>
          <w:rFonts w:hint="default"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由上表汇总结果可知，方案分类情况如下：</w:t>
      </w:r>
    </w:p>
    <w:p>
      <w:pPr>
        <w:spacing w:line="360" w:lineRule="auto"/>
        <w:ind w:firstLine="480" w:firstLineChars="200"/>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val="en-US" w:eastAsia="zh-CN"/>
        </w:rPr>
        <w:t>表5-2   方案分类表（按生产涉及的八个方面）</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9"/>
        <w:gridCol w:w="4980"/>
        <w:gridCol w:w="179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方面</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个数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原辅材料和能源替代</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技术工艺改造</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设备维护和更新</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过程优化控制</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产品更换或改进</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废弃物回收利用和循环利用</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加强管理</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员工素质提高以及积极性的激励</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r>
    </w:tbl>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表5-3     方案分类表（按投资额）</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9"/>
        <w:gridCol w:w="4980"/>
        <w:gridCol w:w="179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方案类型</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投资额（万元）</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个数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无/低费方案</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10万元以下（不含10万元）</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中费方案</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10万元-50万元（不含50万元）</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高费方案</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50万元以上</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r>
    </w:tbl>
    <w:p>
      <w:pPr>
        <w:pStyle w:val="5"/>
        <w:bidi w:val="0"/>
        <w:rPr>
          <w:rFonts w:hint="default" w:ascii="Times New Roman" w:hAnsi="Times New Roman" w:cs="Times New Roman"/>
          <w:lang w:val="en-US" w:eastAsia="zh-CN"/>
        </w:rPr>
      </w:pPr>
      <w:bookmarkStart w:id="109" w:name="_Toc23911"/>
      <w:r>
        <w:rPr>
          <w:rFonts w:hint="default" w:ascii="Times New Roman" w:hAnsi="Times New Roman" w:cs="Times New Roman"/>
          <w:lang w:val="en-US" w:eastAsia="zh-CN"/>
        </w:rPr>
        <w:t>5.3 方案的筛选</w:t>
      </w:r>
      <w:bookmarkEnd w:id="109"/>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经初步筛选的方案汇总后，认为筛选出的全部无低费方案均可以进行实施。部分在前期审核中已经实施的方案，效果已经开始显现。</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对中高费方案，公司从方案实施的技术可行性、环境效益、经济效益方面出发，对其进行简易筛选。</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技术可行性主要分析技术先进性，是否已在同行业里采用过；是否对产品质量有不利影响；经济可行性主要分析是否降低废物的处理处置费用；是否降低原辅材料和能源的成本；是否降低人工费；是否降低运行维护费用等；环境可行性主要分析所削减的废物的数量和浓度以及是否造成二次污染等。</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经分析，审核工作小组对中/高费方案进行总体定性分析评价筛选出的2项中/高费方案都能够进行实施。</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2021年10月21日，河南睿嘉环保科技有限责任公司和企业邀请李加勇高级工程师对新乡市俊业新材料有限公司进行了指导。首先对公司进行了现场考核，生产设备和工艺状况基本良好，和企业、咨询单位进行了交流和现场考察，根据企业实际生产情况，提出以下建议：</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1、化学药剂投加时实行精确控制，减少原辅材料的浪费。</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2、车间顶部集气装置更换为侧吸集气装置，增加废气收集能力。</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3、安装排风扇，增强车间通风。</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4、酸雾吸收塔安装自动投药装置，实现自动化。</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5、增设生产记录手册，完善过程控制。</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根据对比现行收集的清洁生产方案，上述部分措施已列入清洁生产方案（无/低费）实施范围，在后续清洁生产方案实施计划制定中依据工程师提出的意见进方案完善。</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表5-4   中高费方案汇总及简易筛选表</w:t>
      </w:r>
    </w:p>
    <w:tbl>
      <w:tblPr>
        <w:tblStyle w:val="21"/>
        <w:tblW w:w="5000" w:type="pct"/>
        <w:jc w:val="center"/>
        <w:tblBorders>
          <w:top w:val="single" w:color="auto" w:sz="8" w:space="0"/>
          <w:left w:val="none" w:color="auto" w:sz="0" w:space="0"/>
          <w:bottom w:val="single" w:color="auto" w:sz="8" w:space="0"/>
          <w:right w:val="none" w:color="auto" w:sz="0" w:space="0"/>
          <w:insideH w:val="single" w:color="auto" w:sz="8" w:space="0"/>
          <w:insideV w:val="single" w:color="auto" w:sz="6" w:space="0"/>
        </w:tblBorders>
        <w:shd w:val="clear" w:color="auto" w:fill="auto"/>
        <w:tblLayout w:type="fixed"/>
        <w:tblCellMar>
          <w:top w:w="0" w:type="dxa"/>
          <w:left w:w="108" w:type="dxa"/>
          <w:bottom w:w="0" w:type="dxa"/>
          <w:right w:w="108" w:type="dxa"/>
        </w:tblCellMar>
      </w:tblPr>
      <w:tblGrid>
        <w:gridCol w:w="645"/>
        <w:gridCol w:w="3063"/>
        <w:gridCol w:w="792"/>
        <w:gridCol w:w="792"/>
        <w:gridCol w:w="792"/>
        <w:gridCol w:w="792"/>
        <w:gridCol w:w="792"/>
        <w:gridCol w:w="854"/>
      </w:tblGrid>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shd w:val="clear" w:color="auto" w:fill="auto"/>
          <w:tblCellMar>
            <w:top w:w="0" w:type="dxa"/>
            <w:left w:w="108" w:type="dxa"/>
            <w:bottom w:w="0" w:type="dxa"/>
            <w:right w:w="108" w:type="dxa"/>
          </w:tblCellMar>
        </w:tblPrEx>
        <w:trPr>
          <w:cantSplit/>
          <w:trHeight w:val="397" w:hRule="atLeast"/>
          <w:jc w:val="center"/>
        </w:trPr>
        <w:tc>
          <w:tcPr>
            <w:tcW w:w="645" w:type="dxa"/>
            <w:vMerge w:val="restart"/>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方案序号</w:t>
            </w:r>
          </w:p>
        </w:tc>
        <w:tc>
          <w:tcPr>
            <w:tcW w:w="3063" w:type="dxa"/>
            <w:vMerge w:val="restart"/>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方案名称</w:t>
            </w:r>
          </w:p>
        </w:tc>
        <w:tc>
          <w:tcPr>
            <w:tcW w:w="3960" w:type="dxa"/>
            <w:gridSpan w:val="5"/>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筛选因素</w:t>
            </w:r>
          </w:p>
        </w:tc>
        <w:tc>
          <w:tcPr>
            <w:tcW w:w="854" w:type="dxa"/>
            <w:vMerge w:val="restart"/>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投资</w:t>
            </w:r>
            <w:r>
              <w:rPr>
                <w:rFonts w:hint="default" w:ascii="Times New Roman" w:hAnsi="Times New Roman" w:cs="Times New Roman"/>
                <w:b w:val="0"/>
                <w:bCs/>
                <w:kern w:val="0"/>
                <w:szCs w:val="21"/>
                <w:lang w:val="en-US"/>
              </w:rPr>
              <w:t>(</w:t>
            </w:r>
            <w:r>
              <w:rPr>
                <w:rFonts w:hint="default" w:ascii="Times New Roman" w:hAnsi="Times New Roman" w:eastAsia="宋体" w:cs="Times New Roman"/>
                <w:b w:val="0"/>
                <w:bCs/>
                <w:kern w:val="0"/>
                <w:szCs w:val="21"/>
              </w:rPr>
              <w:t>万元</w:t>
            </w:r>
            <w:r>
              <w:rPr>
                <w:rFonts w:hint="default" w:ascii="Times New Roman" w:hAnsi="Times New Roman" w:cs="Times New Roman"/>
                <w:b w:val="0"/>
                <w:bCs/>
                <w:kern w:val="0"/>
                <w:szCs w:val="21"/>
                <w:lang w:val="en-US"/>
              </w:rPr>
              <w:t>)</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cantSplit/>
          <w:trHeight w:val="397" w:hRule="atLeast"/>
          <w:jc w:val="center"/>
        </w:trPr>
        <w:tc>
          <w:tcPr>
            <w:tcW w:w="645"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b w:val="0"/>
                <w:bCs/>
                <w:sz w:val="20"/>
                <w:szCs w:val="20"/>
              </w:rPr>
            </w:pPr>
          </w:p>
        </w:tc>
        <w:tc>
          <w:tcPr>
            <w:tcW w:w="3063"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b w:val="0"/>
                <w:bCs/>
                <w:sz w:val="20"/>
                <w:szCs w:val="20"/>
              </w:rPr>
            </w:pP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技术可行性</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环境可行性</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经济可行性</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实施难易程度</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结论</w:t>
            </w:r>
          </w:p>
        </w:tc>
        <w:tc>
          <w:tcPr>
            <w:tcW w:w="854"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b w:val="0"/>
                <w:bCs/>
                <w:sz w:val="20"/>
                <w:szCs w:val="20"/>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trHeight w:val="397" w:hRule="atLeast"/>
          <w:jc w:val="center"/>
        </w:trPr>
        <w:tc>
          <w:tcPr>
            <w:tcW w:w="64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F19</w:t>
            </w:r>
          </w:p>
        </w:tc>
        <w:tc>
          <w:tcPr>
            <w:tcW w:w="3063"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酸雾处理</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854" w:type="dxa"/>
            <w:tcBorders>
              <w:tl2br w:val="nil"/>
              <w:tr2bl w:val="nil"/>
            </w:tcBorders>
            <w:shd w:val="clear" w:color="auto" w:fill="auto"/>
            <w:vAlign w:val="center"/>
          </w:tcPr>
          <w:p>
            <w:pPr>
              <w:pStyle w:val="26"/>
              <w:widowControl/>
              <w:rPr>
                <w:rFonts w:hint="default" w:ascii="Times New Roman" w:hAnsi="Times New Roman" w:eastAsia="宋体" w:cs="Times New Roman"/>
                <w:b w:val="0"/>
                <w:bCs/>
                <w:spacing w:val="4"/>
                <w:kern w:val="0"/>
                <w:szCs w:val="20"/>
                <w:lang w:val="en-US" w:eastAsia="zh-CN"/>
              </w:rPr>
            </w:pPr>
            <w:r>
              <w:rPr>
                <w:rFonts w:hint="default" w:ascii="Times New Roman" w:hAnsi="Times New Roman" w:cs="Times New Roman"/>
                <w:b w:val="0"/>
                <w:bCs/>
                <w:spacing w:val="4"/>
                <w:kern w:val="0"/>
                <w:szCs w:val="20"/>
                <w:lang w:val="en-US" w:eastAsia="zh-CN"/>
              </w:rPr>
              <w:t>50</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trHeight w:val="397" w:hRule="atLeast"/>
          <w:jc w:val="center"/>
        </w:trPr>
        <w:tc>
          <w:tcPr>
            <w:tcW w:w="64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F20</w:t>
            </w:r>
          </w:p>
        </w:tc>
        <w:tc>
          <w:tcPr>
            <w:tcW w:w="3063"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生产废水分类处理</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854" w:type="dxa"/>
            <w:tcBorders>
              <w:tl2br w:val="nil"/>
              <w:tr2bl w:val="nil"/>
            </w:tcBorders>
            <w:shd w:val="clear" w:color="auto" w:fill="auto"/>
            <w:vAlign w:val="center"/>
          </w:tcPr>
          <w:p>
            <w:pPr>
              <w:pStyle w:val="26"/>
              <w:widowControl/>
              <w:rPr>
                <w:rFonts w:hint="default" w:ascii="Times New Roman" w:hAnsi="Times New Roman" w:eastAsia="宋体" w:cs="Times New Roman"/>
                <w:b w:val="0"/>
                <w:bCs/>
                <w:spacing w:val="4"/>
                <w:kern w:val="0"/>
                <w:szCs w:val="20"/>
                <w:lang w:val="en-US" w:eastAsia="zh-CN"/>
              </w:rPr>
            </w:pPr>
            <w:r>
              <w:rPr>
                <w:rFonts w:hint="default" w:ascii="Times New Roman" w:hAnsi="Times New Roman" w:cs="Times New Roman"/>
                <w:b w:val="0"/>
                <w:bCs/>
                <w:spacing w:val="4"/>
                <w:kern w:val="0"/>
                <w:szCs w:val="20"/>
                <w:lang w:val="en-US" w:eastAsia="zh-CN"/>
              </w:rPr>
              <w:t>60</w:t>
            </w:r>
          </w:p>
        </w:tc>
      </w:tr>
    </w:tbl>
    <w:p>
      <w:pPr>
        <w:pStyle w:val="5"/>
        <w:bidi w:val="0"/>
        <w:spacing w:line="240" w:lineRule="auto"/>
        <w:rPr>
          <w:rFonts w:hint="default" w:ascii="Times New Roman" w:hAnsi="Times New Roman" w:cs="Times New Roman"/>
          <w:lang w:val="en-US" w:eastAsia="zh-CN"/>
        </w:rPr>
      </w:pPr>
      <w:bookmarkStart w:id="110" w:name="_Toc3134"/>
      <w:r>
        <w:rPr>
          <w:rFonts w:hint="default" w:ascii="Times New Roman" w:hAnsi="Times New Roman" w:cs="Times New Roman"/>
          <w:lang w:val="en-US" w:eastAsia="zh-CN"/>
        </w:rPr>
        <w:t>5.4方案研制</w:t>
      </w:r>
      <w:bookmarkEnd w:id="110"/>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为了慎重的对待每一个被筛选出的方案，审核小组在实施前都逐个对方案进行了研究。在本审核报告中对2个可行的中/高费方案进行列表研制，以下各表是2个中/高费方案的研制情况。</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表5-6   </w:t>
      </w:r>
      <w:r>
        <w:rPr>
          <w:rFonts w:hint="eastAsia"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t>F19方案研制情况表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92"/>
        <w:gridCol w:w="3297"/>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both"/>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方案名称：</w:t>
            </w:r>
            <w:r>
              <w:rPr>
                <w:rFonts w:hint="default" w:ascii="Times New Roman" w:hAnsi="Times New Roman" w:eastAsia="宋体" w:cs="Times New Roman"/>
                <w:kern w:val="0"/>
                <w:szCs w:val="21"/>
                <w:lang w:eastAsia="zh-CN"/>
              </w:rPr>
              <w:t>酸雾处理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063"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eastAsiaTheme="minorEastAsia"/>
                <w:kern w:val="0"/>
                <w:szCs w:val="21"/>
                <w:lang w:val="en-US" w:eastAsia="zh-CN"/>
              </w:rPr>
            </w:pPr>
            <w:r>
              <w:rPr>
                <w:rFonts w:hint="default" w:ascii="Times New Roman" w:hAnsi="Times New Roman" w:eastAsia="宋体" w:cs="Times New Roman"/>
                <w:kern w:val="0"/>
                <w:szCs w:val="21"/>
              </w:rPr>
              <w:t>序号：</w:t>
            </w:r>
            <w:r>
              <w:rPr>
                <w:rFonts w:hint="default" w:ascii="Times New Roman" w:hAnsi="Times New Roman" w:cs="Times New Roman"/>
                <w:kern w:val="0"/>
                <w:szCs w:val="21"/>
                <w:lang w:val="en-US"/>
              </w:rPr>
              <w:t>F</w:t>
            </w:r>
            <w:r>
              <w:rPr>
                <w:rFonts w:hint="default" w:ascii="Times New Roman" w:hAnsi="Times New Roman" w:cs="Times New Roman"/>
                <w:kern w:val="0"/>
                <w:szCs w:val="21"/>
                <w:lang w:val="en-US" w:eastAsia="zh-CN"/>
              </w:rPr>
              <w:t>19</w:t>
            </w:r>
          </w:p>
        </w:tc>
        <w:tc>
          <w:tcPr>
            <w:tcW w:w="3420"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eastAsia="宋体" w:cs="Times New Roman"/>
                <w:kern w:val="0"/>
                <w:szCs w:val="21"/>
              </w:rPr>
              <w:t>责任单位：</w:t>
            </w:r>
            <w:r>
              <w:rPr>
                <w:rFonts w:hint="default" w:ascii="Times New Roman" w:hAnsi="Times New Roman" w:eastAsia="宋体" w:cs="Times New Roman"/>
                <w:kern w:val="0"/>
                <w:szCs w:val="21"/>
                <w:lang w:eastAsia="zh-CN"/>
              </w:rPr>
              <w:t>综合部</w:t>
            </w:r>
          </w:p>
        </w:tc>
        <w:tc>
          <w:tcPr>
            <w:tcW w:w="33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kern w:val="0"/>
                <w:szCs w:val="21"/>
                <w:highlight w:val="yellow"/>
                <w:lang w:val="en-US"/>
              </w:rPr>
            </w:pPr>
            <w:r>
              <w:rPr>
                <w:rFonts w:hint="default" w:ascii="Times New Roman" w:hAnsi="Times New Roman" w:eastAsia="宋体" w:cs="Times New Roman"/>
                <w:kern w:val="0"/>
                <w:szCs w:val="21"/>
              </w:rPr>
              <w:t>责任人：</w:t>
            </w:r>
            <w:r>
              <w:rPr>
                <w:rFonts w:hint="default" w:ascii="Times New Roman" w:hAnsi="Times New Roman" w:eastAsia="宋体" w:cs="Times New Roman"/>
                <w:szCs w:val="21"/>
                <w:lang w:eastAsia="zh-CN"/>
              </w:rPr>
              <w:t>琚新春</w:t>
            </w:r>
            <w:r>
              <w:rPr>
                <w:rFonts w:hint="default" w:ascii="Times New Roman" w:hAnsi="Times New Roman" w:cs="Times New Roman"/>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该方案要解决的问题：</w:t>
            </w:r>
          </w:p>
          <w:p>
            <w:pPr>
              <w:keepNext w:val="0"/>
              <w:keepLines w:val="0"/>
              <w:widowControl/>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eastAsia" w:ascii="Times New Roman" w:hAnsi="Times New Roman" w:eastAsia="宋体" w:cs="Times New Roman"/>
                <w:color w:val="000000"/>
                <w:szCs w:val="21"/>
                <w:lang w:val="en-US" w:eastAsia="zh-CN"/>
              </w:rPr>
              <w:t>基于电镀工艺的温度要求，电镀生产线内部分水池水温较高，产生了大量的水汽蒸发，蒸发的水蒸气混杂酸洗、钝化工序产生的酸雾淤积在车间内，车间通风主要依靠排放风扇作用，排出的气体也是有毒害作用的酸雾气体。对车间内的职工、生产设备均会产生较大的负面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方案如何实施的描述：</w:t>
            </w:r>
          </w:p>
          <w:p>
            <w:pPr>
              <w:keepNext w:val="0"/>
              <w:keepLines w:val="0"/>
              <w:widowControl w:val="0"/>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eastAsia" w:ascii="Times New Roman" w:hAnsi="Times New Roman" w:eastAsia="宋体" w:cs="Times New Roman"/>
                <w:color w:val="000000"/>
                <w:kern w:val="2"/>
                <w:sz w:val="21"/>
                <w:szCs w:val="21"/>
                <w:lang w:val="en-US" w:eastAsia="zh-CN" w:bidi="ar"/>
              </w:rPr>
              <w:t>对现有酸雾处理系统进行升级改造，将收集装置由原有的顶部集气罩变更为侧吸集气和顶部集气共同作用，加强废气的收集效率，</w:t>
            </w:r>
            <w:r>
              <w:rPr>
                <w:rFonts w:hint="default" w:ascii="Times New Roman" w:hAnsi="Times New Roman" w:eastAsia="宋体" w:cs="Times New Roman"/>
                <w:color w:val="000000"/>
                <w:kern w:val="2"/>
                <w:sz w:val="21"/>
                <w:szCs w:val="21"/>
                <w:lang w:val="en-US" w:eastAsia="zh-CN" w:bidi="ar"/>
              </w:rPr>
              <w:t>现有酸雾吸收塔内部设置二级碱吸收和自动投药，吸附液选用NaOH稀溶液，吸收液定期交由有资质的单位回收处理。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方案所需要的投资运行费用：</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szCs w:val="21"/>
                <w:lang w:val="en-US"/>
              </w:rPr>
            </w:pPr>
            <w:r>
              <w:rPr>
                <w:rFonts w:hint="default" w:ascii="Times New Roman" w:hAnsi="Times New Roman" w:eastAsia="宋体" w:cs="Times New Roman"/>
                <w:color w:val="000000"/>
                <w:szCs w:val="21"/>
                <w:lang w:val="en-US" w:eastAsia="zh-CN"/>
              </w:rPr>
              <w:t>酸雾吸收塔升级及侧吸集气罩、收集管道、风机布设共需50万元</w:t>
            </w:r>
            <w:r>
              <w:rPr>
                <w:rFonts w:hint="default" w:ascii="Times New Roman" w:hAnsi="Times New Roman" w:eastAsia="宋体" w:cs="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rPr>
            </w:pPr>
            <w:r>
              <w:rPr>
                <w:rFonts w:hint="default" w:ascii="Times New Roman" w:hAnsi="Times New Roman" w:eastAsia="宋体" w:cs="Times New Roman"/>
                <w:kern w:val="2"/>
                <w:sz w:val="21"/>
                <w:szCs w:val="22"/>
                <w:lang w:val="en-US" w:eastAsia="zh-CN" w:bidi="ar"/>
              </w:rPr>
              <w:t>方案实施后的预期效益（经济效益/环境效益）：</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eastAsiaTheme="minorEastAsia"/>
                <w:sz w:val="24"/>
                <w:szCs w:val="24"/>
                <w:lang w:val="en-US" w:eastAsia="zh-CN"/>
              </w:rPr>
            </w:pPr>
            <w:r>
              <w:rPr>
                <w:rFonts w:hint="default" w:ascii="Times New Roman" w:hAnsi="Times New Roman" w:eastAsia="宋体" w:cs="Times New Roman"/>
                <w:color w:val="000000"/>
                <w:szCs w:val="21"/>
                <w:lang w:val="en-US" w:eastAsia="zh-CN"/>
              </w:rPr>
              <w:t>方案实施后，本项目产生的HCL气体、硫酸雾的处理效率均会得到明显提升，车间内废气滞留量降低，对职工身体健康和机械设备的运行寿命都会产生有益的影响，产生的效益主要为环境效益。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方案的实施时间：</w:t>
            </w:r>
            <w:r>
              <w:rPr>
                <w:rFonts w:hint="default" w:ascii="Times New Roman" w:hAnsi="Times New Roman" w:cs="Times New Roman"/>
                <w:color w:val="000000"/>
                <w:szCs w:val="21"/>
                <w:lang w:val="en-US"/>
              </w:rPr>
              <w:t>20</w:t>
            </w:r>
            <w:r>
              <w:rPr>
                <w:rFonts w:hint="default" w:ascii="Times New Roman" w:hAnsi="Times New Roman" w:cs="Times New Roman"/>
                <w:color w:val="000000"/>
                <w:szCs w:val="21"/>
                <w:lang w:val="en-US" w:eastAsia="zh-CN"/>
              </w:rPr>
              <w:t>21</w:t>
            </w:r>
            <w:r>
              <w:rPr>
                <w:rFonts w:hint="default" w:ascii="Times New Roman" w:hAnsi="Times New Roman" w:eastAsia="宋体" w:cs="Times New Roman"/>
                <w:color w:val="000000"/>
                <w:szCs w:val="21"/>
              </w:rPr>
              <w:t>年</w:t>
            </w:r>
            <w:r>
              <w:rPr>
                <w:rFonts w:hint="default" w:ascii="Times New Roman" w:hAnsi="Times New Roman" w:eastAsia="宋体" w:cs="Times New Roman"/>
                <w:color w:val="000000"/>
                <w:szCs w:val="21"/>
                <w:lang w:val="en-US" w:eastAsia="zh-CN"/>
              </w:rPr>
              <w:t>9</w:t>
            </w:r>
            <w:r>
              <w:rPr>
                <w:rFonts w:hint="default" w:ascii="Times New Roman" w:hAnsi="Times New Roman" w:eastAsia="宋体" w:cs="Times New Roman"/>
                <w:color w:val="000000"/>
                <w:szCs w:val="21"/>
              </w:rPr>
              <w:t>月</w:t>
            </w:r>
            <w:r>
              <w:rPr>
                <w:rFonts w:hint="default" w:ascii="Times New Roman" w:hAnsi="Times New Roman" w:cs="Times New Roman"/>
                <w:color w:val="000000"/>
                <w:szCs w:val="21"/>
                <w:lang w:val="en-US"/>
              </w:rPr>
              <w:t>-20</w:t>
            </w:r>
            <w:r>
              <w:rPr>
                <w:rFonts w:hint="default" w:ascii="Times New Roman" w:hAnsi="Times New Roman" w:cs="Times New Roman"/>
                <w:color w:val="000000"/>
                <w:szCs w:val="21"/>
                <w:lang w:val="en-US" w:eastAsia="zh-CN"/>
              </w:rPr>
              <w:t>20</w:t>
            </w:r>
            <w:r>
              <w:rPr>
                <w:rFonts w:hint="default" w:ascii="Times New Roman" w:hAnsi="Times New Roman" w:eastAsia="宋体" w:cs="Times New Roman"/>
                <w:color w:val="000000"/>
                <w:szCs w:val="21"/>
              </w:rPr>
              <w:t>年</w:t>
            </w:r>
            <w:r>
              <w:rPr>
                <w:rFonts w:hint="default" w:ascii="Times New Roman" w:hAnsi="Times New Roman" w:cs="Times New Roman"/>
                <w:color w:val="000000"/>
                <w:szCs w:val="21"/>
                <w:lang w:val="en-US"/>
              </w:rPr>
              <w:t>1</w:t>
            </w:r>
            <w:r>
              <w:rPr>
                <w:rFonts w:hint="default" w:ascii="Times New Roman" w:hAnsi="Times New Roman" w:cs="Times New Roman"/>
                <w:color w:val="000000"/>
                <w:szCs w:val="21"/>
                <w:lang w:val="en-US" w:eastAsia="zh-CN"/>
              </w:rPr>
              <w:t>0</w:t>
            </w:r>
            <w:r>
              <w:rPr>
                <w:rFonts w:hint="default" w:ascii="Times New Roman" w:hAnsi="Times New Roman" w:eastAsia="宋体" w:cs="Times New Roman"/>
                <w:color w:val="000000"/>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运行期限（使用寿命）：</w:t>
            </w:r>
            <w:r>
              <w:rPr>
                <w:rFonts w:hint="default" w:ascii="Times New Roman" w:hAnsi="Times New Roman" w:eastAsia="宋体" w:cs="Times New Roman"/>
                <w:color w:val="000000"/>
                <w:szCs w:val="21"/>
                <w:lang w:val="en-US" w:eastAsia="zh-CN"/>
              </w:rPr>
              <w:t>10</w:t>
            </w:r>
            <w:r>
              <w:rPr>
                <w:rFonts w:hint="default" w:ascii="Times New Roman" w:hAnsi="Times New Roman" w:eastAsia="宋体" w:cs="Times New Roman"/>
                <w:color w:val="000000"/>
                <w:szCs w:val="21"/>
              </w:rPr>
              <w:t>年</w:t>
            </w:r>
          </w:p>
        </w:tc>
      </w:tr>
    </w:tbl>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表5-7   F20方案研制情况表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92"/>
        <w:gridCol w:w="3297"/>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both"/>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方案名称：</w:t>
            </w:r>
            <w:r>
              <w:rPr>
                <w:rFonts w:hint="default" w:ascii="Times New Roman" w:hAnsi="Times New Roman" w:eastAsia="宋体" w:cs="Times New Roman"/>
                <w:sz w:val="21"/>
                <w:szCs w:val="21"/>
                <w:lang w:eastAsia="zh-CN"/>
              </w:rPr>
              <w:t>生产废水分类处理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063"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eastAsiaTheme="minorEastAsia"/>
                <w:kern w:val="0"/>
                <w:szCs w:val="21"/>
                <w:lang w:val="en-US" w:eastAsia="zh-CN"/>
              </w:rPr>
            </w:pPr>
            <w:r>
              <w:rPr>
                <w:rFonts w:hint="default" w:ascii="Times New Roman" w:hAnsi="Times New Roman" w:eastAsia="宋体" w:cs="Times New Roman"/>
                <w:kern w:val="0"/>
                <w:szCs w:val="21"/>
              </w:rPr>
              <w:t>序号：</w:t>
            </w:r>
            <w:r>
              <w:rPr>
                <w:rFonts w:hint="default" w:ascii="Times New Roman" w:hAnsi="Times New Roman" w:cs="Times New Roman"/>
                <w:kern w:val="0"/>
                <w:szCs w:val="21"/>
                <w:lang w:val="en-US"/>
              </w:rPr>
              <w:t>F</w:t>
            </w:r>
            <w:r>
              <w:rPr>
                <w:rFonts w:hint="default" w:ascii="Times New Roman" w:hAnsi="Times New Roman" w:cs="Times New Roman"/>
                <w:kern w:val="0"/>
                <w:szCs w:val="21"/>
                <w:lang w:val="en-US" w:eastAsia="zh-CN"/>
              </w:rPr>
              <w:t>20</w:t>
            </w:r>
          </w:p>
        </w:tc>
        <w:tc>
          <w:tcPr>
            <w:tcW w:w="3420"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eastAsia="宋体" w:cs="Times New Roman"/>
                <w:kern w:val="0"/>
                <w:szCs w:val="21"/>
              </w:rPr>
              <w:t>责任单位：</w:t>
            </w:r>
            <w:r>
              <w:rPr>
                <w:rFonts w:hint="default" w:ascii="Times New Roman" w:hAnsi="Times New Roman" w:eastAsia="宋体" w:cs="Times New Roman"/>
                <w:kern w:val="0"/>
                <w:szCs w:val="21"/>
                <w:lang w:eastAsia="zh-CN"/>
              </w:rPr>
              <w:t>综合部</w:t>
            </w:r>
          </w:p>
        </w:tc>
        <w:tc>
          <w:tcPr>
            <w:tcW w:w="33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kern w:val="0"/>
                <w:szCs w:val="21"/>
                <w:highlight w:val="yellow"/>
                <w:lang w:val="en-US"/>
              </w:rPr>
            </w:pPr>
            <w:r>
              <w:rPr>
                <w:rFonts w:hint="default" w:ascii="Times New Roman" w:hAnsi="Times New Roman" w:eastAsia="宋体" w:cs="Times New Roman"/>
                <w:kern w:val="0"/>
                <w:szCs w:val="21"/>
              </w:rPr>
              <w:t>责任人：</w:t>
            </w:r>
            <w:r>
              <w:rPr>
                <w:rFonts w:hint="default" w:ascii="Times New Roman" w:hAnsi="Times New Roman" w:eastAsia="宋体" w:cs="Times New Roman"/>
                <w:szCs w:val="21"/>
                <w:lang w:eastAsia="zh-CN"/>
              </w:rPr>
              <w:t>琚新春</w:t>
            </w:r>
            <w:r>
              <w:rPr>
                <w:rFonts w:hint="default" w:ascii="Times New Roman" w:hAnsi="Times New Roman" w:cs="Times New Roman"/>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该方案要解决的问题：</w:t>
            </w:r>
          </w:p>
          <w:p>
            <w:pPr>
              <w:keepNext w:val="0"/>
              <w:keepLines w:val="0"/>
              <w:widowControl/>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eastAsia" w:ascii="Times New Roman" w:hAnsi="Times New Roman" w:eastAsia="宋体" w:cs="Times New Roman"/>
                <w:color w:val="000000"/>
                <w:szCs w:val="21"/>
                <w:lang w:eastAsia="zh-CN"/>
              </w:rPr>
              <w:t>电镀线运行过程中分为</w:t>
            </w:r>
            <w:r>
              <w:rPr>
                <w:rFonts w:hint="default" w:ascii="Times New Roman" w:hAnsi="Times New Roman" w:eastAsia="宋体" w:cs="Times New Roman"/>
                <w:color w:val="000000"/>
                <w:szCs w:val="21"/>
                <w:lang w:eastAsia="zh-CN"/>
              </w:rPr>
              <w:t>多个步骤，每个步骤产出的废水有的属于含镍废水，有的属于不含重金属的普通废水</w:t>
            </w:r>
            <w:r>
              <w:rPr>
                <w:rFonts w:hint="eastAsia" w:ascii="Times New Roman" w:hAnsi="Times New Roman" w:eastAsia="宋体" w:cs="Times New Roman"/>
                <w:color w:val="000000"/>
                <w:szCs w:val="21"/>
                <w:lang w:eastAsia="zh-CN"/>
              </w:rPr>
              <w:t>，废水经收集后通过转运至厂区内污水处理站，污水处理站主要分为两套污水处理系统，含镍废水和不含镍废水在不同的废水处理系统中分别处理，但是厂区设置的污水处理站内部空间较小，水池深度在</w:t>
            </w:r>
            <w:r>
              <w:rPr>
                <w:rFonts w:hint="eastAsia" w:ascii="Times New Roman" w:hAnsi="Times New Roman" w:eastAsia="宋体" w:cs="Times New Roman"/>
                <w:color w:val="000000"/>
                <w:szCs w:val="21"/>
                <w:lang w:val="en-US" w:eastAsia="zh-CN"/>
              </w:rPr>
              <w:t>2.5m左右，两套污水处理系统互相紧邻，在生产负荷最大的状态下，污水处理系统饱和运行，内部废水有相互飞溅、相互渗透的风险，同时由于水池较小，废水停留时间较短，不能达到一个较好的废水处理效果。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方案如何实施的描述：</w:t>
            </w:r>
          </w:p>
          <w:p>
            <w:pPr>
              <w:keepNext w:val="0"/>
              <w:keepLines w:val="0"/>
              <w:widowControl w:val="0"/>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eastAsia" w:ascii="Times New Roman" w:hAnsi="Times New Roman" w:eastAsia="宋体" w:cs="Times New Roman"/>
                <w:color w:val="000000"/>
                <w:kern w:val="2"/>
                <w:sz w:val="21"/>
                <w:szCs w:val="21"/>
                <w:lang w:val="en-US" w:eastAsia="zh-CN" w:bidi="ar"/>
              </w:rPr>
              <w:t>在厂区东北侧建设一座全新的含镍废水处理系统，将原污水处理站内的含镍废水处理设备全部迁出并予以改造扩建，提高水池容水量，达到废水分类、分级处理的目的，同时水池容量的提升也能够有效增加废水停留时间，便于充分反应，</w:t>
            </w:r>
            <w:r>
              <w:rPr>
                <w:rFonts w:hint="default" w:ascii="Times New Roman" w:hAnsi="Times New Roman" w:eastAsia="宋体" w:cs="Times New Roman"/>
                <w:color w:val="000000"/>
                <w:kern w:val="2"/>
                <w:sz w:val="21"/>
                <w:szCs w:val="21"/>
                <w:lang w:val="en-US" w:eastAsia="zh-CN" w:bidi="ar"/>
              </w:rPr>
              <w:t>提高污水处理站处理效率</w:t>
            </w:r>
            <w:r>
              <w:rPr>
                <w:rFonts w:hint="eastAsia" w:ascii="Times New Roman" w:hAnsi="Times New Roman" w:eastAsia="宋体" w:cs="Times New Roman"/>
                <w:color w:val="000000"/>
                <w:kern w:val="2"/>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方案所需要的投资运行费用：</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szCs w:val="21"/>
                <w:lang w:val="en-US"/>
              </w:rPr>
            </w:pPr>
            <w:r>
              <w:rPr>
                <w:rFonts w:hint="default" w:ascii="Times New Roman" w:hAnsi="Times New Roman" w:eastAsia="宋体" w:cs="Times New Roman"/>
                <w:color w:val="000000"/>
                <w:szCs w:val="21"/>
                <w:lang w:val="en-US" w:eastAsia="zh-CN"/>
              </w:rPr>
              <w:t>生产废水分类、分级处理设置共需60万元</w:t>
            </w:r>
            <w:r>
              <w:rPr>
                <w:rFonts w:hint="default" w:ascii="Times New Roman" w:hAnsi="Times New Roman" w:eastAsia="宋体" w:cs="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rPr>
            </w:pPr>
            <w:r>
              <w:rPr>
                <w:rFonts w:hint="default" w:ascii="Times New Roman" w:hAnsi="Times New Roman" w:eastAsia="宋体" w:cs="Times New Roman"/>
                <w:kern w:val="2"/>
                <w:sz w:val="21"/>
                <w:szCs w:val="22"/>
                <w:lang w:val="en-US" w:eastAsia="zh-CN" w:bidi="ar"/>
              </w:rPr>
              <w:t>方案实施后的预期效益（经济效益/环境效益）：</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eastAsiaTheme="minorEastAsia"/>
                <w:sz w:val="24"/>
                <w:szCs w:val="24"/>
                <w:lang w:val="en-US" w:eastAsia="zh-CN"/>
              </w:rPr>
            </w:pPr>
            <w:r>
              <w:rPr>
                <w:rFonts w:hint="default" w:ascii="Times New Roman" w:hAnsi="Times New Roman" w:eastAsia="宋体" w:cs="Times New Roman"/>
                <w:color w:val="000000"/>
                <w:szCs w:val="21"/>
                <w:lang w:val="en-US" w:eastAsia="zh-CN"/>
              </w:rPr>
              <w:t>方案实施后，</w:t>
            </w:r>
            <w:r>
              <w:rPr>
                <w:rFonts w:hint="eastAsia" w:ascii="Times New Roman" w:hAnsi="Times New Roman" w:eastAsia="宋体" w:cs="Times New Roman"/>
                <w:color w:val="000000"/>
                <w:szCs w:val="21"/>
                <w:lang w:val="en-US" w:eastAsia="zh-CN"/>
              </w:rPr>
              <w:t>厂区内的原污水处理站只用于处理厂区产生的脱脂废水、酸洗废水，新建污水处理站只用于处理厂区产生的含镍废水，消除了废水互相飞溅、互相渗透的风险，同时提高废水停留时间，降低废水处理负荷，增加废水处理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方案的实施时间：</w:t>
            </w:r>
            <w:r>
              <w:rPr>
                <w:rFonts w:hint="default" w:ascii="Times New Roman" w:hAnsi="Times New Roman" w:cs="Times New Roman"/>
                <w:color w:val="000000"/>
                <w:szCs w:val="21"/>
                <w:lang w:val="en-US"/>
              </w:rPr>
              <w:t>20</w:t>
            </w:r>
            <w:r>
              <w:rPr>
                <w:rFonts w:hint="default" w:ascii="Times New Roman" w:hAnsi="Times New Roman" w:cs="Times New Roman"/>
                <w:color w:val="000000"/>
                <w:szCs w:val="21"/>
                <w:lang w:val="en-US" w:eastAsia="zh-CN"/>
              </w:rPr>
              <w:t>21</w:t>
            </w:r>
            <w:r>
              <w:rPr>
                <w:rFonts w:hint="default" w:ascii="Times New Roman" w:hAnsi="Times New Roman" w:eastAsia="宋体" w:cs="Times New Roman"/>
                <w:color w:val="000000"/>
                <w:szCs w:val="21"/>
              </w:rPr>
              <w:t>年</w:t>
            </w:r>
            <w:r>
              <w:rPr>
                <w:rFonts w:hint="default" w:ascii="Times New Roman" w:hAnsi="Times New Roman" w:eastAsia="宋体" w:cs="Times New Roman"/>
                <w:color w:val="000000"/>
                <w:szCs w:val="21"/>
                <w:lang w:val="en-US" w:eastAsia="zh-CN"/>
              </w:rPr>
              <w:t>12</w:t>
            </w:r>
            <w:r>
              <w:rPr>
                <w:rFonts w:hint="default" w:ascii="Times New Roman" w:hAnsi="Times New Roman" w:eastAsia="宋体" w:cs="Times New Roman"/>
                <w:color w:val="000000"/>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运行期限（使用寿命）：</w:t>
            </w:r>
            <w:r>
              <w:rPr>
                <w:rFonts w:hint="default" w:ascii="Times New Roman" w:hAnsi="Times New Roman" w:eastAsia="宋体" w:cs="Times New Roman"/>
                <w:color w:val="000000"/>
                <w:szCs w:val="21"/>
                <w:lang w:val="en-US" w:eastAsia="zh-CN"/>
              </w:rPr>
              <w:t>10</w:t>
            </w:r>
            <w:r>
              <w:rPr>
                <w:rFonts w:hint="default" w:ascii="Times New Roman" w:hAnsi="Times New Roman" w:eastAsia="宋体" w:cs="Times New Roman"/>
                <w:color w:val="000000"/>
                <w:szCs w:val="21"/>
              </w:rPr>
              <w:t>年</w:t>
            </w:r>
          </w:p>
        </w:tc>
      </w:tr>
    </w:tbl>
    <w:p>
      <w:pPr>
        <w:pStyle w:val="5"/>
        <w:bidi w:val="0"/>
        <w:rPr>
          <w:rFonts w:hint="default" w:ascii="Times New Roman" w:hAnsi="Times New Roman" w:cs="Times New Roman"/>
          <w:lang w:val="en-US" w:eastAsia="zh-CN"/>
        </w:rPr>
      </w:pPr>
      <w:bookmarkStart w:id="111" w:name="_Toc22325"/>
      <w:r>
        <w:rPr>
          <w:rFonts w:hint="default" w:ascii="Times New Roman" w:hAnsi="Times New Roman" w:cs="Times New Roman"/>
          <w:lang w:val="en-US" w:eastAsia="zh-CN"/>
        </w:rPr>
        <w:t>5.5 方案的实施计划</w:t>
      </w:r>
      <w:bookmarkEnd w:id="111"/>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制定实施计划。对所有可执行方案，进行时间排序，量力制定切实可行的实施计划和进度安排。详细情况见表5-8，表5-9。</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表5-8  无/低费清洁生产审核方案实施计划表</w:t>
      </w:r>
    </w:p>
    <w:tbl>
      <w:tblPr>
        <w:tblStyle w:val="2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69"/>
        <w:gridCol w:w="3585"/>
        <w:gridCol w:w="1854"/>
        <w:gridCol w:w="21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方案</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方案名称</w:t>
            </w:r>
          </w:p>
        </w:tc>
        <w:tc>
          <w:tcPr>
            <w:tcW w:w="185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b w:val="0"/>
                <w:bCs/>
                <w:sz w:val="21"/>
                <w:szCs w:val="21"/>
              </w:rPr>
              <w:t>实施时间</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b w:val="0"/>
                <w:bCs/>
                <w:sz w:val="21"/>
                <w:szCs w:val="21"/>
              </w:rPr>
              <w:t>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F01</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加强设备维护及保洁</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F02</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强化生产管理</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F03</w:t>
            </w:r>
          </w:p>
        </w:tc>
        <w:tc>
          <w:tcPr>
            <w:tcW w:w="3585" w:type="dxa"/>
            <w:tcBorders>
              <w:tl2br w:val="nil"/>
              <w:tr2bl w:val="nil"/>
            </w:tcBorders>
            <w:shd w:val="clear" w:color="auto" w:fill="auto"/>
            <w:vAlign w:val="center"/>
          </w:tcPr>
          <w:p>
            <w:pPr>
              <w:spacing w:line="240" w:lineRule="auto"/>
              <w:jc w:val="center"/>
              <w:rPr>
                <w:rFonts w:hint="eastAsia" w:ascii="Times New Roman" w:hAnsi="Times New Roman" w:eastAsia="宋体" w:cs="Times New Roman"/>
                <w:b w:val="0"/>
                <w:bCs/>
                <w:sz w:val="21"/>
                <w:szCs w:val="21"/>
                <w:lang w:val="en-US" w:eastAsia="zh-CN"/>
              </w:rPr>
            </w:pPr>
            <w:r>
              <w:rPr>
                <w:rFonts w:hint="default" w:ascii="Times New Roman" w:hAnsi="Times New Roman" w:eastAsia="宋体" w:cs="Times New Roman"/>
                <w:sz w:val="21"/>
                <w:szCs w:val="21"/>
              </w:rPr>
              <w:t>定期检查、校正各种计量设备</w:t>
            </w:r>
            <w:r>
              <w:rPr>
                <w:rFonts w:hint="eastAsia" w:ascii="Times New Roman" w:hAnsi="Times New Roman" w:eastAsia="宋体" w:cs="Times New Roman"/>
                <w:sz w:val="21"/>
                <w:szCs w:val="21"/>
                <w:lang w:eastAsia="zh-CN"/>
              </w:rPr>
              <w:t>、补充用水计量装置</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pStyle w:val="19"/>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F04</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定期检查各项污染防治措施</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pStyle w:val="19"/>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F05</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水 、电节能利用</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eastAsia="zh-CN"/>
              </w:rPr>
              <w:t>办公室、</w:t>
            </w: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sz w:val="21"/>
                <w:szCs w:val="21"/>
                <w:lang w:eastAsia="zh-CN"/>
              </w:rPr>
              <w:t>F06</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建立清洁生产办公室</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eastAsia="zh-CN"/>
              </w:rPr>
              <w:t>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sz w:val="21"/>
                <w:szCs w:val="21"/>
                <w:lang w:eastAsia="zh-CN"/>
              </w:rPr>
              <w:t>F07</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lang w:eastAsia="zh-CN"/>
              </w:rPr>
              <w:t>产生的固体废物分类存放</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sz w:val="21"/>
                <w:szCs w:val="21"/>
                <w:lang w:eastAsia="zh-CN"/>
              </w:rPr>
              <w:t>F08</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节省纸张</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sz w:val="21"/>
                <w:szCs w:val="21"/>
                <w:lang w:eastAsia="zh-CN"/>
              </w:rPr>
              <w:t>F09</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规范维修工具管理使用</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F10</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color w:val="000000"/>
                <w:spacing w:val="4"/>
                <w:kern w:val="0"/>
                <w:sz w:val="21"/>
                <w:szCs w:val="21"/>
                <w:lang w:val="en-US"/>
              </w:rPr>
            </w:pPr>
            <w:r>
              <w:rPr>
                <w:rFonts w:hint="default" w:ascii="Times New Roman" w:hAnsi="Times New Roman" w:eastAsia="宋体" w:cs="Times New Roman"/>
                <w:sz w:val="21"/>
                <w:szCs w:val="21"/>
              </w:rPr>
              <w:t>备品备件齐全</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F11</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完善岗位操作规范</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F12</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产品防潮、防尘、防火</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pacing w:val="4"/>
                <w:kern w:val="0"/>
                <w:sz w:val="21"/>
                <w:szCs w:val="21"/>
                <w:lang w:val="en-US"/>
              </w:rPr>
            </w:pPr>
            <w:r>
              <w:rPr>
                <w:rFonts w:hint="default" w:ascii="Times New Roman" w:hAnsi="Times New Roman" w:eastAsia="宋体" w:cs="Times New Roman"/>
                <w:sz w:val="21"/>
                <w:szCs w:val="21"/>
              </w:rPr>
              <w:t>F13</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制定合理的奖惩制度</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0"/>
                <w:sz w:val="21"/>
                <w:szCs w:val="21"/>
                <w:lang w:val="en-US"/>
              </w:rPr>
            </w:pPr>
            <w:r>
              <w:rPr>
                <w:rFonts w:hint="default" w:ascii="Times New Roman" w:hAnsi="Times New Roman" w:eastAsia="宋体" w:cs="Times New Roman"/>
                <w:b w:val="0"/>
                <w:bCs/>
                <w:sz w:val="21"/>
                <w:szCs w:val="21"/>
                <w:lang w:val="en-US" w:eastAsia="zh-CN"/>
              </w:rPr>
              <w:t>综合部、财务部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F14</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加强安全教育</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综合部、保安部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F15</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增加垃圾桶数量</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综合部、财务部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F16</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及时调整工作班次</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F17</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应急预案的建立</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F18</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设备使用规章制度</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bl>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表5-9    中高费方案实施计划表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695"/>
        <w:gridCol w:w="1335"/>
        <w:gridCol w:w="2621"/>
        <w:gridCol w:w="170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方案编号</w:t>
            </w:r>
          </w:p>
        </w:tc>
        <w:tc>
          <w:tcPr>
            <w:tcW w:w="1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方案名称</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任务</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实施时间</w:t>
            </w:r>
          </w:p>
        </w:tc>
        <w:tc>
          <w:tcPr>
            <w:tcW w:w="170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负责部门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F19</w:t>
            </w:r>
          </w:p>
        </w:tc>
        <w:tc>
          <w:tcPr>
            <w:tcW w:w="169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eastAsia="zh-CN"/>
              </w:rPr>
              <w:t>酸雾处理</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2021.8.9~2021.8.9</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val="0"/>
                <w:color w:val="auto"/>
                <w:sz w:val="21"/>
                <w:szCs w:val="21"/>
                <w:vertAlign w:val="baseline"/>
                <w:lang w:val="en-US" w:eastAsia="zh-CN"/>
              </w:rPr>
              <w:t>2021.9.9~2021.9.9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val="0"/>
                <w:color w:val="auto"/>
                <w:sz w:val="21"/>
                <w:szCs w:val="21"/>
                <w:vertAlign w:val="baseline"/>
                <w:lang w:val="en-US" w:eastAsia="zh-CN"/>
              </w:rPr>
              <w:t>2021.10.5~2021.10.20</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施工设备安装</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val="0"/>
                <w:color w:val="auto"/>
                <w:sz w:val="21"/>
                <w:szCs w:val="21"/>
                <w:vertAlign w:val="baseline"/>
                <w:lang w:val="en-US" w:eastAsia="zh-CN"/>
              </w:rPr>
              <w:t>2021.10.22~2021.10.27</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val="0"/>
                <w:color w:val="auto"/>
                <w:sz w:val="21"/>
                <w:szCs w:val="21"/>
                <w:vertAlign w:val="baseline"/>
                <w:lang w:val="en-US" w:eastAsia="zh-CN"/>
              </w:rPr>
              <w:t>2021.10.27~2021.10.29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F20</w:t>
            </w:r>
          </w:p>
        </w:tc>
        <w:tc>
          <w:tcPr>
            <w:tcW w:w="1695" w:type="dxa"/>
            <w:vMerge w:val="restart"/>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生产废水分类处理</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2021.10.9~2021.10.9</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2021.10.9~2021.11.9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2021.12.5~2021.12.20</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施工设备安</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装</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2021.12.22~2021.12.27</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9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2021.12.27~2021.12.29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bl>
    <w:p>
      <w:pPr>
        <w:pStyle w:val="5"/>
        <w:bidi w:val="0"/>
        <w:rPr>
          <w:rFonts w:hint="default" w:ascii="Times New Roman" w:hAnsi="Times New Roman" w:cs="Times New Roman"/>
          <w:lang w:val="en-US" w:eastAsia="zh-CN"/>
        </w:rPr>
      </w:pPr>
      <w:bookmarkStart w:id="112" w:name="_Toc12549"/>
      <w:r>
        <w:rPr>
          <w:rFonts w:hint="default" w:ascii="Times New Roman" w:hAnsi="Times New Roman" w:cs="Times New Roman"/>
          <w:lang w:val="en-US" w:eastAsia="zh-CN"/>
        </w:rPr>
        <w:t>5.6 方案的预期投资和收益</w:t>
      </w:r>
      <w:bookmarkEnd w:id="112"/>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表5-8   可行方案的经济估算汇总表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80"/>
        <w:gridCol w:w="1155"/>
        <w:gridCol w:w="1095"/>
        <w:gridCol w:w="4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方案类别</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数量（个）</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预计投资</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（万元）</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预计增收（万元）</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预计年节能减排情况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无低费方案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5</w:t>
            </w:r>
            <w:r>
              <w:rPr>
                <w:rFonts w:hint="default" w:ascii="Times New Roman" w:hAnsi="Times New Roman" w:eastAsia="宋体" w:cs="Times New Roman"/>
                <w:b w:val="0"/>
                <w:bCs w:val="0"/>
                <w:color w:val="auto"/>
                <w:sz w:val="21"/>
                <w:szCs w:val="21"/>
                <w:vertAlign w:val="baseline"/>
                <w:lang w:val="en-US" w:eastAsia="zh-CN"/>
              </w:rPr>
              <w:t>.65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算，节约水费0.648万元/a。节约办公支出约200元/年，可节省人工成本8万元/年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中高费方案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110</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F19：电镀产生的酸雾得到有效的收集处理，车间内水雾淤积量明显降低，使无组织酸雾的外排量有效减少，对车间内职工健康和生产设备运行状态均会产生有益的影响</w:t>
            </w:r>
            <w:r>
              <w:rPr>
                <w:rFonts w:hint="eastAsia" w:ascii="Times New Roman" w:hAnsi="Times New Roman" w:eastAsia="宋体" w:cs="Times New Roman"/>
                <w:b w:val="0"/>
                <w:bCs w:val="0"/>
                <w:color w:val="auto"/>
                <w:sz w:val="21"/>
                <w:szCs w:val="21"/>
                <w:vertAlign w:val="baseline"/>
                <w:lang w:val="en-US" w:eastAsia="zh-CN"/>
              </w:rPr>
              <w:br w:type="textWrapping"/>
            </w:r>
            <w:r>
              <w:rPr>
                <w:rFonts w:hint="eastAsia" w:ascii="Times New Roman" w:hAnsi="Times New Roman" w:eastAsia="宋体" w:cs="Times New Roman"/>
                <w:b w:val="0"/>
                <w:bCs w:val="0"/>
                <w:color w:val="auto"/>
                <w:sz w:val="21"/>
                <w:szCs w:val="21"/>
                <w:vertAlign w:val="baseline"/>
                <w:lang w:val="en-US" w:eastAsia="zh-CN"/>
              </w:rPr>
              <w:t>F20：厂区电镀线产生的废水得到分类、分级处理，废水停留时间增加，污水处理站的处理能力得到加强，提高的回用水水质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w:t>
            </w:r>
            <w:r>
              <w:rPr>
                <w:rFonts w:hint="eastAsia" w:ascii="Times New Roman" w:hAnsi="Times New Roman" w:eastAsia="宋体" w:cs="Times New Roman"/>
                <w:b w:val="0"/>
                <w:bCs w:val="0"/>
                <w:color w:val="auto"/>
                <w:sz w:val="21"/>
                <w:szCs w:val="21"/>
                <w:vertAlign w:val="baseline"/>
                <w:lang w:val="en-US" w:eastAsia="zh-CN"/>
              </w:rPr>
              <w:t>5</w:t>
            </w:r>
            <w:r>
              <w:rPr>
                <w:rFonts w:hint="default" w:ascii="Times New Roman" w:hAnsi="Times New Roman" w:eastAsia="宋体" w:cs="Times New Roman"/>
                <w:b w:val="0"/>
                <w:bCs w:val="0"/>
                <w:color w:val="auto"/>
                <w:sz w:val="21"/>
                <w:szCs w:val="21"/>
                <w:vertAlign w:val="baseline"/>
                <w:lang w:val="en-US" w:eastAsia="zh-CN"/>
              </w:rPr>
              <w:t>.65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算，节约水费0.648万元/a。节约办公支出约200元/年，可节省人工成本8万元/年</w:t>
            </w:r>
            <w:r>
              <w:rPr>
                <w:rFonts w:hint="eastAsia" w:ascii="Times New Roman" w:hAnsi="Times New Roman" w:eastAsia="宋体" w:cs="Times New Roman"/>
                <w:b w:val="0"/>
                <w:bCs w:val="0"/>
                <w:color w:val="auto"/>
                <w:sz w:val="21"/>
                <w:szCs w:val="21"/>
                <w:vertAlign w:val="baseline"/>
                <w:lang w:val="en-US" w:eastAsia="zh-CN"/>
              </w:rPr>
              <w:t>；同时中高费方案的实施大大提高了厂区车间的环境质量，项目废水、废气治理装置得到优化改善，提高了环境效益</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jc w:val="left"/>
        <w:rPr>
          <w:rFonts w:hint="default" w:ascii="Times New Roman" w:hAnsi="Times New Roman" w:cs="Times New Roman"/>
          <w:b w:val="0"/>
          <w:bCs w:val="0"/>
          <w:color w:val="auto"/>
          <w:sz w:val="24"/>
          <w:szCs w:val="24"/>
          <w:lang w:val="en-US" w:eastAsia="zh-CN"/>
        </w:rPr>
      </w:pPr>
    </w:p>
    <w:p>
      <w:pPr>
        <w:spacing w:line="360" w:lineRule="auto"/>
        <w:jc w:val="left"/>
        <w:rPr>
          <w:rFonts w:hint="default" w:ascii="Times New Roman" w:hAnsi="Times New Roman" w:cs="Times New Roman"/>
          <w:b w:val="0"/>
          <w:bCs w:val="0"/>
          <w:color w:val="auto"/>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bidi w:val="0"/>
        <w:jc w:val="center"/>
        <w:rPr>
          <w:rFonts w:hint="default" w:ascii="Times New Roman" w:hAnsi="Times New Roman" w:cs="Times New Roman"/>
          <w:lang w:val="en-US" w:eastAsia="zh-CN"/>
        </w:rPr>
      </w:pPr>
      <w:bookmarkStart w:id="113" w:name="_Toc28650"/>
      <w:r>
        <w:rPr>
          <w:rFonts w:hint="default" w:ascii="Times New Roman" w:hAnsi="Times New Roman" w:cs="Times New Roman"/>
          <w:lang w:val="en-US" w:eastAsia="zh-CN"/>
        </w:rPr>
        <w:t>第六章 可行性分析</w:t>
      </w:r>
      <w:bookmarkEnd w:id="113"/>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阶段的主要工作是针对筛选出的中/高费清洁生产方案进行技术说明和分析论证。通过对筛选出来的最佳的可行性方案进行技术、环境、经济可行性分析和比较（最佳可行性方案是指所确定项目投资方案在技术上先进适用，经济上合理高效，环境效果最明显的可行方案）。</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轮清洁生产审核共产生中/高费方案2个，针对这2个方案从工程技术、环境及经济三个方面进行专门的可行性分析。方案评估指标汇总见表6-1，具体可行性由审核小组、技术人员、现场操作工人以及厂内外工艺技术专家共同根据环境效果、经济和技术等方面，进行可行性分析。</w:t>
      </w:r>
    </w:p>
    <w:p>
      <w:pPr>
        <w:spacing w:line="360" w:lineRule="auto"/>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lang w:val="en-US" w:eastAsia="zh-CN"/>
        </w:rPr>
        <w:t>表6-1   方案评估指标汇总表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70"/>
        <w:gridCol w:w="635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评估类型</w:t>
            </w:r>
          </w:p>
        </w:tc>
        <w:tc>
          <w:tcPr>
            <w:tcW w:w="6352"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指标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技术评估</w:t>
            </w:r>
          </w:p>
        </w:tc>
        <w:tc>
          <w:tcPr>
            <w:tcW w:w="6352"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先进性、成熟性、可实施性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环境评估</w:t>
            </w:r>
          </w:p>
        </w:tc>
        <w:tc>
          <w:tcPr>
            <w:tcW w:w="6352"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“三废”外排</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经济评估</w:t>
            </w:r>
          </w:p>
        </w:tc>
        <w:tc>
          <w:tcPr>
            <w:tcW w:w="6352"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项目总投资（I）、年运行费用总节省（P）、设备年折旧费（D）、年增加现金流量（F）、投资偿还期（N）、净现值（NPV）、内部收益率（IRR）</w:t>
            </w:r>
          </w:p>
        </w:tc>
      </w:tr>
    </w:tbl>
    <w:p>
      <w:pPr>
        <w:pStyle w:val="5"/>
        <w:bidi w:val="0"/>
        <w:rPr>
          <w:rFonts w:hint="default" w:ascii="Times New Roman" w:hAnsi="Times New Roman" w:cs="Times New Roman"/>
          <w:lang w:val="en-US" w:eastAsia="zh-CN"/>
        </w:rPr>
      </w:pPr>
      <w:bookmarkStart w:id="114" w:name="_Toc6386"/>
      <w:r>
        <w:rPr>
          <w:rFonts w:hint="default" w:ascii="Times New Roman" w:hAnsi="Times New Roman" w:cs="Times New Roman"/>
          <w:lang w:val="en-US" w:eastAsia="zh-CN"/>
        </w:rPr>
        <w:t>6.1  F19酸雾处理</w:t>
      </w:r>
      <w:bookmarkEnd w:id="114"/>
    </w:p>
    <w:p>
      <w:pPr>
        <w:spacing w:line="360" w:lineRule="auto"/>
        <w:jc w:val="left"/>
        <w:rPr>
          <w:rFonts w:hint="default" w:ascii="Times New Roman" w:hAnsi="Times New Roman" w:eastAsia="宋体" w:cs="Times New Roman"/>
          <w:sz w:val="24"/>
          <w:szCs w:val="24"/>
          <w:lang w:val="en-US" w:eastAsia="zh-CN"/>
        </w:rPr>
      </w:pPr>
      <w:bookmarkStart w:id="115" w:name="_Toc533723283"/>
      <w:bookmarkStart w:id="116" w:name="_Toc8985034"/>
      <w:r>
        <w:rPr>
          <w:rFonts w:hint="default" w:ascii="Times New Roman" w:hAnsi="Times New Roman" w:eastAsia="宋体" w:cs="Times New Roman"/>
          <w:sz w:val="24"/>
          <w:szCs w:val="24"/>
          <w:lang w:val="en-US" w:eastAsia="zh-CN"/>
        </w:rPr>
        <w:t>6.1.1技术可行性分析</w:t>
      </w:r>
      <w:bookmarkEnd w:id="115"/>
      <w:bookmarkEnd w:id="116"/>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改造背景：项目电镀车间在生产过程中会产生部分酸雾，同时电镀线的运行会导致车间内温度升高，产生的水蒸气与酸雾结合在一起形成酸性水雾，电镀车间目前通风能力较差，大量的酸性水雾在车间内滞留，对职工的身体健康和设备的运行寿命均会产生有害影响。</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改造内容：对现有酸雾处理系统进行升级改造，将收集装置由原有的顶部集气罩变更为侧吸集气和顶部集气共同作用，加强废气的收集效率，现有酸雾吸收塔内部设置二级碱吸收和自动投药，吸附液选用NaOH稀溶液，吸收液定期交由有资质的单位回收处理。</w:t>
      </w:r>
    </w:p>
    <w:p>
      <w:pPr>
        <w:spacing w:line="360" w:lineRule="auto"/>
        <w:ind w:firstLine="480" w:firstLineChars="200"/>
        <w:jc w:val="left"/>
        <w:rPr>
          <w:rFonts w:hint="default" w:ascii="Times New Roman" w:hAnsi="Times New Roman" w:eastAsia="宋体" w:cs="Times New Roman"/>
          <w:sz w:val="24"/>
          <w:szCs w:val="24"/>
          <w:lang w:val="en-US" w:eastAsia="zh-CN"/>
        </w:rPr>
      </w:pPr>
      <w:bookmarkStart w:id="117" w:name="_Toc533723284"/>
      <w:bookmarkStart w:id="118" w:name="_Toc8985035"/>
      <w:r>
        <w:rPr>
          <w:rFonts w:hint="default" w:ascii="Times New Roman" w:hAnsi="Times New Roman" w:eastAsia="宋体" w:cs="Times New Roman"/>
          <w:sz w:val="24"/>
          <w:szCs w:val="24"/>
          <w:lang w:val="en-US" w:eastAsia="zh-CN"/>
        </w:rPr>
        <w:t>该方案实施后，</w:t>
      </w:r>
      <w:r>
        <w:rPr>
          <w:rFonts w:hint="eastAsia" w:ascii="Times New Roman" w:hAnsi="Times New Roman" w:eastAsia="宋体" w:cs="Times New Roman"/>
          <w:sz w:val="24"/>
          <w:szCs w:val="24"/>
          <w:lang w:val="en-US" w:eastAsia="zh-CN"/>
        </w:rPr>
        <w:t>电镀线</w:t>
      </w:r>
      <w:r>
        <w:rPr>
          <w:rFonts w:hint="default" w:ascii="Times New Roman" w:hAnsi="Times New Roman" w:eastAsia="宋体" w:cs="Times New Roman"/>
          <w:sz w:val="24"/>
          <w:szCs w:val="24"/>
          <w:lang w:val="en-US" w:eastAsia="zh-CN"/>
        </w:rPr>
        <w:t>产生的HCL气体、硫酸雾的处理效率均会得到明显提升，车间内废气滞留量降低，对职工身体健康和机械设备的运行寿命都会产生有益的影响，产生的效益主要为环境效益，此方案符合企业生产需求，在技术上可行。</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6.1.2环境可行性分析</w:t>
      </w:r>
      <w:bookmarkEnd w:id="117"/>
      <w:bookmarkEnd w:id="118"/>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方案实施后，</w:t>
      </w:r>
      <w:r>
        <w:rPr>
          <w:rFonts w:hint="eastAsia" w:ascii="Times New Roman" w:hAnsi="Times New Roman" w:eastAsia="宋体" w:cs="Times New Roman"/>
          <w:sz w:val="24"/>
          <w:szCs w:val="24"/>
          <w:lang w:val="en-US" w:eastAsia="zh-CN"/>
        </w:rPr>
        <w:t>电镀</w:t>
      </w:r>
      <w:r>
        <w:rPr>
          <w:rFonts w:hint="default" w:ascii="Times New Roman" w:hAnsi="Times New Roman" w:eastAsia="宋体" w:cs="Times New Roman"/>
          <w:sz w:val="24"/>
          <w:szCs w:val="24"/>
          <w:lang w:val="en-US" w:eastAsia="zh-CN"/>
        </w:rPr>
        <w:t>产生的酸雾得到</w:t>
      </w:r>
      <w:r>
        <w:rPr>
          <w:rFonts w:hint="eastAsia" w:ascii="Times New Roman" w:hAnsi="Times New Roman" w:eastAsia="宋体" w:cs="Times New Roman"/>
          <w:sz w:val="24"/>
          <w:szCs w:val="24"/>
          <w:lang w:val="en-US" w:eastAsia="zh-CN"/>
        </w:rPr>
        <w:t>有效的</w:t>
      </w:r>
      <w:r>
        <w:rPr>
          <w:rFonts w:hint="default" w:ascii="Times New Roman" w:hAnsi="Times New Roman" w:eastAsia="宋体" w:cs="Times New Roman"/>
          <w:sz w:val="24"/>
          <w:szCs w:val="24"/>
          <w:lang w:val="en-US" w:eastAsia="zh-CN"/>
        </w:rPr>
        <w:t>收集处理，</w:t>
      </w:r>
      <w:r>
        <w:rPr>
          <w:rFonts w:hint="eastAsia" w:ascii="Times New Roman" w:hAnsi="Times New Roman" w:eastAsia="宋体" w:cs="Times New Roman"/>
          <w:sz w:val="24"/>
          <w:szCs w:val="24"/>
          <w:lang w:val="en-US" w:eastAsia="zh-CN"/>
        </w:rPr>
        <w:t>车间内水雾淤积量明显降低，使无组织酸雾的外排量有效减少，对车间内职工健康和生产设备运行状态均会产生有益的影响</w:t>
      </w:r>
      <w:r>
        <w:rPr>
          <w:rFonts w:hint="default" w:ascii="Times New Roman" w:hAnsi="Times New Roman" w:eastAsia="宋体" w:cs="Times New Roman"/>
          <w:sz w:val="24"/>
          <w:szCs w:val="24"/>
          <w:lang w:val="en-US" w:eastAsia="zh-CN"/>
        </w:rPr>
        <w:t>，方案在环境上可行。</w:t>
      </w:r>
    </w:p>
    <w:p>
      <w:pPr>
        <w:spacing w:line="360" w:lineRule="auto"/>
        <w:jc w:val="left"/>
        <w:rPr>
          <w:rFonts w:hint="default" w:ascii="Times New Roman" w:hAnsi="Times New Roman" w:eastAsia="宋体" w:cs="Times New Roman"/>
          <w:sz w:val="24"/>
          <w:szCs w:val="24"/>
          <w:lang w:val="en-US" w:eastAsia="zh-CN"/>
        </w:rPr>
      </w:pPr>
      <w:bookmarkStart w:id="119" w:name="_Toc533723285"/>
      <w:bookmarkStart w:id="120" w:name="_Toc8985036"/>
      <w:r>
        <w:rPr>
          <w:rFonts w:hint="default" w:ascii="Times New Roman" w:hAnsi="Times New Roman" w:eastAsia="宋体" w:cs="Times New Roman"/>
          <w:sz w:val="24"/>
          <w:szCs w:val="24"/>
          <w:lang w:val="en-US" w:eastAsia="zh-CN"/>
        </w:rPr>
        <w:t>6.1.3经济可行性分析</w:t>
      </w:r>
      <w:bookmarkEnd w:id="119"/>
      <w:bookmarkEnd w:id="120"/>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该方案属于环保减排方案，环境效益明显，经济效益不明显，因此不做经济可行性分析，可以直接实施。</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6.1.4方案的可行性分析结论</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经过对本方案的技术、环境、经济可行性分析，本方案技术成熟可靠，环境效益明显，最后确定本方案可行。</w:t>
      </w:r>
    </w:p>
    <w:p>
      <w:pPr>
        <w:pStyle w:val="5"/>
        <w:bidi w:val="0"/>
        <w:rPr>
          <w:rFonts w:hint="default" w:ascii="Times New Roman" w:hAnsi="Times New Roman" w:cs="Times New Roman"/>
          <w:lang w:val="en-US" w:eastAsia="zh-CN"/>
        </w:rPr>
      </w:pPr>
      <w:bookmarkStart w:id="121" w:name="_Toc19621"/>
      <w:r>
        <w:rPr>
          <w:rFonts w:hint="default" w:ascii="Times New Roman" w:hAnsi="Times New Roman" w:cs="Times New Roman"/>
          <w:lang w:val="en-US" w:eastAsia="zh-CN"/>
        </w:rPr>
        <w:t>6.2  F20生产废水分类处理</w:t>
      </w:r>
      <w:bookmarkEnd w:id="121"/>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6.2.1技术可行性分析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改造背景：电镀线运行过程中分为多个步骤，每个步骤产出的废水有的属于含镍废水，有的属于不含重金属的普通废水，废水经收集后通过转运至厂区内污水处理站，污水处理站主要分为两套污水处理系统，含镍废水和不含镍废水在不同的废水处理系统中分别处理，但是厂区设置的污水处理站内部空间较小，水池深度在2.5m左右，两套污水处理系统互相紧邻，在生产负荷最大的状态下，污水处理系统饱和运行，内部废水有相互飞溅、相互渗透的风险，同时由于水池较小，废水停留时间较短，不能达到一个较好的废水处理效果。</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改造内容：在厂区东北侧新建一座2#含镍废水处理站，将全厂产生的含镍废水统一引至该污水处理站进行处理，不含重金属的普通废水仍由原1#污水处理站进行处理。</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该方案实施后，厂区内的原污水处理站只用于处理厂区产生的脱脂废水、酸洗废水，新建污水处理站只用于处理厂区产生的含镍废水，消除了废水互相飞溅、互相渗透的风险，同时提高废水停留时间，降低废水处理负荷，增加废水处理效率，有良好的环境效益，此方案符合企业生产需求，在技术上可行。</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6.2.2环境可行性分析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方案实施后，</w:t>
      </w:r>
      <w:r>
        <w:rPr>
          <w:rFonts w:hint="eastAsia" w:ascii="Times New Roman" w:hAnsi="Times New Roman" w:eastAsia="宋体" w:cs="Times New Roman"/>
          <w:sz w:val="24"/>
          <w:szCs w:val="24"/>
          <w:lang w:val="en-US" w:eastAsia="zh-CN"/>
        </w:rPr>
        <w:t>厂区电镀线产生的废水得到分类、分级处理，废水停留时间增加，污水处理站的处理能力得到加强，提高的回用水水质，</w:t>
      </w:r>
      <w:r>
        <w:rPr>
          <w:rFonts w:hint="default" w:ascii="Times New Roman" w:hAnsi="Times New Roman" w:eastAsia="宋体" w:cs="Times New Roman"/>
          <w:sz w:val="24"/>
          <w:szCs w:val="24"/>
          <w:lang w:val="en-US" w:eastAsia="zh-CN"/>
        </w:rPr>
        <w:t>方案在环境上可行。</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6.2.3经济可行性分析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该方案属于环保减排方案，环境效益明显，经济效益不明显，因此不做经济可行性分析，可以直接实施。</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6.3.4方案的可行性分析结论</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经过对本方案的技术、环境、经济可行性分析，本方案技术成熟可靠，环境效益明显，最后确定本方案可行。</w:t>
      </w:r>
    </w:p>
    <w:p>
      <w:pPr>
        <w:spacing w:line="360" w:lineRule="auto"/>
        <w:jc w:val="left"/>
        <w:rPr>
          <w:rFonts w:hint="default" w:ascii="Times New Roman" w:hAnsi="Times New Roman" w:eastAsia="宋体" w:cs="Times New Roman"/>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bidi w:val="0"/>
        <w:jc w:val="center"/>
        <w:rPr>
          <w:rFonts w:hint="default" w:ascii="Times New Roman" w:hAnsi="Times New Roman" w:cs="Times New Roman"/>
          <w:lang w:val="en-US" w:eastAsia="zh-CN"/>
        </w:rPr>
      </w:pPr>
      <w:bookmarkStart w:id="122" w:name="_Toc17756"/>
      <w:r>
        <w:rPr>
          <w:rFonts w:hint="default" w:ascii="Times New Roman" w:hAnsi="Times New Roman" w:cs="Times New Roman"/>
          <w:lang w:val="en-US" w:eastAsia="zh-CN"/>
        </w:rPr>
        <w:t>第七章 方案的实施</w:t>
      </w:r>
      <w:bookmarkEnd w:id="122"/>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 xml:space="preserve">本阶段的目的是通过推荐方案的实施，使企业实现技术进步，获得显著的经济和环境效益；通过评估已实施的清洁生产方案成果，激励企业推行清洁生产。本阶段工作重点是：总结前几个审核阶段已实施的清洁生产方案的成果，统筹规划推荐方案的实施。 </w:t>
      </w:r>
    </w:p>
    <w:p>
      <w:pPr>
        <w:pStyle w:val="5"/>
        <w:bidi w:val="0"/>
        <w:rPr>
          <w:rFonts w:hint="default" w:ascii="Times New Roman" w:hAnsi="Times New Roman" w:cs="Times New Roman"/>
          <w:lang w:val="en-US" w:eastAsia="zh-CN"/>
        </w:rPr>
      </w:pPr>
      <w:bookmarkStart w:id="123" w:name="_Toc32562"/>
      <w:r>
        <w:rPr>
          <w:rFonts w:hint="default" w:ascii="Times New Roman" w:hAnsi="Times New Roman" w:cs="Times New Roman"/>
          <w:lang w:val="en-US" w:eastAsia="zh-CN"/>
        </w:rPr>
        <w:t>7.1 方案实施情况简述</w:t>
      </w:r>
      <w:bookmarkEnd w:id="123"/>
      <w:r>
        <w:rPr>
          <w:rFonts w:hint="default" w:ascii="Times New Roman" w:hAnsi="Times New Roman" w:cs="Times New Roman"/>
          <w:lang w:val="en-US" w:eastAsia="zh-CN"/>
        </w:rPr>
        <w:t xml:space="preserve"> </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 xml:space="preserve">在企业领导的大力支持下，在审核小组的技术人员、管理人员以及全体员工的积极配合下，企业各部门精心组织、周密安排，有计划有步骤的对清洁生产所提出的方案进行实施。由清洁生产方案的实施，展现出各个环节的明显变化。首先，大幅度减少了资源能源不必要的浪费；其次，对产生污染环节的有效控制，明显的减少了废水和废气排放量；第三，通过对设备的改进、保养和维护，减少了设备维修的费用，避免了安全事故的发生，保证生产的高效运行；第四，管理制度的进一步加强，提高了工人的责任心，增进广大职工职业操守。 </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 xml:space="preserve">截止到报告编写时，本次清洁生产审核过程中提出的有益于企业节能减排、技术进步的20个可行性方案，在边提出边实施原则的指导下，截止到报告编写完成时，方案实施率达到了100%。 </w:t>
      </w:r>
    </w:p>
    <w:p>
      <w:pPr>
        <w:keepNext w:val="0"/>
        <w:keepLines w:val="0"/>
        <w:widowControl w:val="0"/>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kern w:val="2"/>
          <w:sz w:val="24"/>
          <w:szCs w:val="22"/>
          <w:lang w:val="en-US" w:eastAsia="zh-CN" w:bidi="ar"/>
        </w:rPr>
        <w:t>表7-1  项目方案实施情况统计表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8" w:type="dxa"/>
            <w:gridSpan w:val="2"/>
            <w:tcBorders>
              <w:lef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项目</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无/低费</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中/高费</w:t>
            </w:r>
          </w:p>
        </w:tc>
        <w:tc>
          <w:tcPr>
            <w:tcW w:w="1706" w:type="dxa"/>
            <w:tcBorders>
              <w:righ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8" w:type="dxa"/>
            <w:gridSpan w:val="2"/>
            <w:tcBorders>
              <w:lef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汇总可行的方案数目</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18</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2</w:t>
            </w:r>
          </w:p>
        </w:tc>
        <w:tc>
          <w:tcPr>
            <w:tcW w:w="1706" w:type="dxa"/>
            <w:tcBorders>
              <w:righ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4" w:type="dxa"/>
            <w:vMerge w:val="restart"/>
            <w:tcBorders>
              <w:lef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已实施的方案</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数目</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18</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2</w:t>
            </w:r>
          </w:p>
        </w:tc>
        <w:tc>
          <w:tcPr>
            <w:tcW w:w="1706" w:type="dxa"/>
            <w:tcBorders>
              <w:righ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4" w:type="dxa"/>
            <w:vMerge w:val="continue"/>
            <w:tcBorders>
              <w:lef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完成率</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100%</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100%</w:t>
            </w:r>
          </w:p>
        </w:tc>
        <w:tc>
          <w:tcPr>
            <w:tcW w:w="1706" w:type="dxa"/>
            <w:tcBorders>
              <w:righ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default" w:ascii="Times New Roman" w:hAnsi="Times New Roman" w:eastAsia="宋体" w:cs="Times New Roman"/>
                <w:kern w:val="2"/>
                <w:sz w:val="21"/>
                <w:szCs w:val="21"/>
                <w:vertAlign w:val="baseline"/>
                <w:lang w:val="en-US" w:eastAsia="zh-CN" w:bidi="ar"/>
              </w:rPr>
              <w:t>100%</w:t>
            </w:r>
          </w:p>
        </w:tc>
      </w:tr>
    </w:tbl>
    <w:p>
      <w:pPr>
        <w:keepNext w:val="0"/>
        <w:keepLines w:val="0"/>
        <w:widowControl w:val="0"/>
        <w:suppressLineNumbers w:val="0"/>
        <w:spacing w:before="0" w:beforeAutospacing="0" w:after="0" w:afterAutospacing="0" w:line="360" w:lineRule="auto"/>
        <w:ind w:right="0" w:firstLine="480" w:firstLineChars="200"/>
        <w:jc w:val="both"/>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kern w:val="2"/>
          <w:sz w:val="24"/>
          <w:szCs w:val="22"/>
          <w:lang w:val="en-US" w:eastAsia="zh-CN" w:bidi="ar"/>
        </w:rPr>
        <w:t>具体可行的无/低费清洁生产方案实施情况见下表。</w:t>
      </w:r>
    </w:p>
    <w:p>
      <w:pPr>
        <w:keepNext w:val="0"/>
        <w:keepLines w:val="0"/>
        <w:widowControl w:val="0"/>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kern w:val="2"/>
          <w:sz w:val="24"/>
          <w:szCs w:val="22"/>
          <w:lang w:val="en-US" w:eastAsia="zh-CN" w:bidi="ar"/>
        </w:rPr>
        <w:t>表7-2  无/低费清洁生产方案实施计划表</w:t>
      </w:r>
    </w:p>
    <w:tbl>
      <w:tblPr>
        <w:tblStyle w:val="2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2243"/>
        <w:gridCol w:w="1110"/>
        <w:gridCol w:w="1665"/>
        <w:gridCol w:w="1530"/>
        <w:gridCol w:w="114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tcBorders>
              <w:tl2br w:val="nil"/>
              <w:tr2bl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编号</w:t>
            </w:r>
          </w:p>
        </w:tc>
        <w:tc>
          <w:tcPr>
            <w:tcW w:w="2243" w:type="dxa"/>
            <w:tcBorders>
              <w:tl2br w:val="nil"/>
              <w:tr2bl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方案名称</w:t>
            </w:r>
          </w:p>
        </w:tc>
        <w:tc>
          <w:tcPr>
            <w:tcW w:w="1110"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投资</w:t>
            </w:r>
          </w:p>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（万元）</w:t>
            </w:r>
          </w:p>
        </w:tc>
        <w:tc>
          <w:tcPr>
            <w:tcW w:w="1665"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计划开始时间</w:t>
            </w:r>
          </w:p>
        </w:tc>
        <w:tc>
          <w:tcPr>
            <w:tcW w:w="1530"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计划完成时间</w:t>
            </w:r>
          </w:p>
        </w:tc>
        <w:tc>
          <w:tcPr>
            <w:tcW w:w="1145"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F01</w:t>
            </w:r>
          </w:p>
        </w:tc>
        <w:tc>
          <w:tcPr>
            <w:tcW w:w="224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加强设备维护及保洁</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0.5</w:t>
            </w:r>
          </w:p>
        </w:tc>
        <w:tc>
          <w:tcPr>
            <w:tcW w:w="1665"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F02</w:t>
            </w:r>
          </w:p>
        </w:tc>
        <w:tc>
          <w:tcPr>
            <w:tcW w:w="224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强化生产管理</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w:t>
            </w:r>
          </w:p>
        </w:tc>
        <w:tc>
          <w:tcPr>
            <w:tcW w:w="1665"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F03</w:t>
            </w:r>
          </w:p>
        </w:tc>
        <w:tc>
          <w:tcPr>
            <w:tcW w:w="2243" w:type="dxa"/>
            <w:tcBorders>
              <w:tl2br w:val="nil"/>
              <w:tr2bl w:val="nil"/>
            </w:tcBorders>
            <w:vAlign w:val="center"/>
          </w:tcPr>
          <w:p>
            <w:pPr>
              <w:spacing w:line="240" w:lineRule="auto"/>
              <w:jc w:val="center"/>
              <w:rPr>
                <w:rFonts w:hint="eastAsia"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定期检查、校正各种计量设备</w:t>
            </w:r>
            <w:r>
              <w:rPr>
                <w:rFonts w:hint="eastAsia" w:ascii="Times New Roman" w:hAnsi="Times New Roman" w:eastAsia="宋体" w:cs="Times New Roman"/>
                <w:sz w:val="21"/>
                <w:szCs w:val="21"/>
                <w:lang w:eastAsia="zh-CN"/>
              </w:rPr>
              <w:t>、补充用水计量装置</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2</w:t>
            </w:r>
          </w:p>
        </w:tc>
        <w:tc>
          <w:tcPr>
            <w:tcW w:w="1665"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tcBorders>
              <w:tl2br w:val="nil"/>
              <w:tr2bl w:val="nil"/>
            </w:tcBorders>
            <w:vAlign w:val="center"/>
          </w:tcPr>
          <w:p>
            <w:pPr>
              <w:pStyle w:val="19"/>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F04</w:t>
            </w:r>
          </w:p>
        </w:tc>
        <w:tc>
          <w:tcPr>
            <w:tcW w:w="224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定期检查各项污染防治措施</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tcBorders>
              <w:tl2br w:val="nil"/>
              <w:tr2bl w:val="nil"/>
            </w:tcBorders>
            <w:vAlign w:val="center"/>
          </w:tcPr>
          <w:p>
            <w:pPr>
              <w:pStyle w:val="19"/>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F05</w:t>
            </w:r>
          </w:p>
        </w:tc>
        <w:tc>
          <w:tcPr>
            <w:tcW w:w="224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水 、电节能利用</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eastAsia="zh-CN"/>
              </w:rPr>
              <w:t>办公室、</w:t>
            </w: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F06</w:t>
            </w:r>
          </w:p>
        </w:tc>
        <w:tc>
          <w:tcPr>
            <w:tcW w:w="224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1.0</w:t>
            </w:r>
          </w:p>
        </w:tc>
        <w:tc>
          <w:tcPr>
            <w:tcW w:w="1665"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eastAsia="zh-CN"/>
              </w:rPr>
              <w:t>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F07</w:t>
            </w:r>
          </w:p>
        </w:tc>
        <w:tc>
          <w:tcPr>
            <w:tcW w:w="224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111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0.05</w:t>
            </w:r>
          </w:p>
        </w:tc>
        <w:tc>
          <w:tcPr>
            <w:tcW w:w="1665"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F08</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节省纸张</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eastAsia="zh-CN"/>
              </w:rPr>
              <w:t>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F09</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F10</w:t>
            </w:r>
          </w:p>
        </w:tc>
        <w:tc>
          <w:tcPr>
            <w:tcW w:w="2243" w:type="dxa"/>
            <w:vAlign w:val="center"/>
          </w:tcPr>
          <w:p>
            <w:pPr>
              <w:spacing w:line="240" w:lineRule="auto"/>
              <w:jc w:val="center"/>
              <w:rPr>
                <w:rFonts w:hint="default" w:ascii="Times New Roman" w:hAnsi="Times New Roman" w:eastAsia="宋体" w:cs="Times New Roman"/>
                <w:b w:val="0"/>
                <w:bCs/>
                <w:color w:val="000000"/>
                <w:spacing w:val="4"/>
                <w:kern w:val="0"/>
                <w:sz w:val="21"/>
                <w:szCs w:val="21"/>
                <w:lang w:val="en-US" w:eastAsia="zh-CN" w:bidi="ar-SA"/>
              </w:rPr>
            </w:pPr>
            <w:r>
              <w:rPr>
                <w:rFonts w:hint="default" w:ascii="Times New Roman" w:hAnsi="Times New Roman" w:eastAsia="宋体" w:cs="Times New Roman"/>
                <w:sz w:val="21"/>
                <w:szCs w:val="21"/>
              </w:rPr>
              <w:t>备品备件齐全</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F11</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完善岗位操作规范</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F12</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产品防潮、防尘、防火</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spacing w:val="4"/>
                <w:kern w:val="0"/>
                <w:sz w:val="21"/>
                <w:szCs w:val="21"/>
                <w:lang w:val="en-US" w:eastAsia="zh-CN" w:bidi="ar-SA"/>
              </w:rPr>
            </w:pPr>
            <w:r>
              <w:rPr>
                <w:rFonts w:hint="default" w:ascii="Times New Roman" w:hAnsi="Times New Roman" w:eastAsia="宋体" w:cs="Times New Roman"/>
                <w:sz w:val="21"/>
                <w:szCs w:val="21"/>
              </w:rPr>
              <w:t>F13</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sz w:val="21"/>
                <w:szCs w:val="21"/>
                <w:lang w:val="en-US" w:eastAsia="zh-CN"/>
              </w:rPr>
              <w:t>综合部、财务部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F14</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加强安全教育</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综合部、保安部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F15</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增加垃圾桶数量</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0.1</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综合部、财务部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F16</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及时调整工作班次</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F17</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应急预案的建立</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F18</w:t>
            </w:r>
          </w:p>
        </w:tc>
        <w:tc>
          <w:tcPr>
            <w:tcW w:w="224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设备使用规章制度</w:t>
            </w:r>
          </w:p>
        </w:tc>
        <w:tc>
          <w:tcPr>
            <w:tcW w:w="111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665"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53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145"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bl>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具体可行的中/高费清洁生产方案实施情况见下表。</w:t>
      </w:r>
    </w:p>
    <w:p>
      <w:pPr>
        <w:keepNext w:val="0"/>
        <w:keepLines w:val="0"/>
        <w:widowControl w:val="0"/>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表7-3  中/高费清洁生产方案实施计划表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349"/>
        <w:gridCol w:w="1681"/>
        <w:gridCol w:w="2621"/>
        <w:gridCol w:w="170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方案编号</w:t>
            </w:r>
          </w:p>
        </w:tc>
        <w:tc>
          <w:tcPr>
            <w:tcW w:w="13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方案名称</w:t>
            </w: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任务</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实施时间</w:t>
            </w:r>
          </w:p>
        </w:tc>
        <w:tc>
          <w:tcPr>
            <w:tcW w:w="170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负责部门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F19</w:t>
            </w:r>
          </w:p>
        </w:tc>
        <w:tc>
          <w:tcPr>
            <w:tcW w:w="134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eastAsia="zh-CN"/>
              </w:rPr>
              <w:t>酸雾处理</w:t>
            </w: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2021.8.9~2021.8.9</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、财务部，第三方公司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2021.9.9~2021.9.9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2021.10.5~2021.10.20</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施工设备安装</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2021.10.22~2021.10.27</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2021.10.27~2021.10.29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F20</w:t>
            </w:r>
          </w:p>
        </w:tc>
        <w:tc>
          <w:tcPr>
            <w:tcW w:w="1349" w:type="dxa"/>
            <w:vMerge w:val="restart"/>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生产废水分类处理</w:t>
            </w: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2021.10.9~2021.10.9</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、财务部，第三方公司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2021.10.9~2021.11.9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2021.12.5~2021.12.20</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施工设备安装</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2021.12.22~2021.12.27</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2021.12.27~2021.12.29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bl>
    <w:p>
      <w:pPr>
        <w:pStyle w:val="5"/>
        <w:bidi w:val="0"/>
        <w:rPr>
          <w:rFonts w:hint="default" w:ascii="Times New Roman" w:hAnsi="Times New Roman" w:cs="Times New Roman"/>
          <w:lang w:val="en-US" w:eastAsia="zh-CN"/>
        </w:rPr>
      </w:pPr>
      <w:bookmarkStart w:id="124" w:name="_Toc1899"/>
      <w:r>
        <w:rPr>
          <w:rFonts w:hint="default" w:ascii="Times New Roman" w:hAnsi="Times New Roman" w:cs="Times New Roman"/>
          <w:lang w:val="en-US" w:eastAsia="zh-CN"/>
        </w:rPr>
        <w:t>7.2 已完成的无低费方案的实施效果</w:t>
      </w:r>
      <w:bookmarkEnd w:id="124"/>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无/低费方案实施产生的效益主要从经济、环境及社会效益进行统计，依据边审核边实施的原则，截止报告编写完成时，所有无/低费方案均已经实施，且实施了一段时间后，得到了良好的效益，企业已实施的无/低费方案共投资</w:t>
      </w:r>
      <w:r>
        <w:rPr>
          <w:rFonts w:hint="eastAsia" w:ascii="Times New Roman" w:hAnsi="Times New Roman" w:eastAsia="宋体" w:cs="Times New Roman"/>
          <w:color w:val="000000"/>
          <w:kern w:val="2"/>
          <w:sz w:val="24"/>
          <w:szCs w:val="20"/>
          <w:lang w:val="en-US" w:eastAsia="zh-CN" w:bidi="ar"/>
        </w:rPr>
        <w:t>5.65</w:t>
      </w:r>
      <w:r>
        <w:rPr>
          <w:rFonts w:hint="default" w:ascii="Times New Roman" w:hAnsi="Times New Roman" w:eastAsia="宋体" w:cs="Times New Roman"/>
          <w:color w:val="000000"/>
          <w:kern w:val="2"/>
          <w:sz w:val="24"/>
          <w:szCs w:val="20"/>
          <w:lang w:val="en-US" w:eastAsia="zh-CN" w:bidi="ar"/>
        </w:rPr>
        <w:t>万元；既产生了经济效益，又产生了一定的环境效益和社会效益，具体见下表。</w:t>
      </w:r>
    </w:p>
    <w:p>
      <w:pPr>
        <w:keepNext w:val="0"/>
        <w:keepLines w:val="0"/>
        <w:widowControl w:val="0"/>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表7-4   企业已实施的无低费方案效益汇总表（2022.1~2022.3）</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3000"/>
        <w:gridCol w:w="1020"/>
        <w:gridCol w:w="34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编号</w:t>
            </w:r>
          </w:p>
        </w:tc>
        <w:tc>
          <w:tcPr>
            <w:tcW w:w="3000" w:type="dxa"/>
            <w:tcBorders>
              <w:tl2br w:val="nil"/>
              <w:tr2bl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方案名称</w:t>
            </w:r>
          </w:p>
        </w:tc>
        <w:tc>
          <w:tcPr>
            <w:tcW w:w="1020"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投资</w:t>
            </w:r>
          </w:p>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（万元）</w:t>
            </w:r>
          </w:p>
        </w:tc>
        <w:tc>
          <w:tcPr>
            <w:tcW w:w="3486"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审核期间取得的效益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F01</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加强设备维护及保洁</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0.5</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F02</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强化生产管理</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3个月，避免设备空耗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F03</w:t>
            </w:r>
          </w:p>
        </w:tc>
        <w:tc>
          <w:tcPr>
            <w:tcW w:w="3000" w:type="dxa"/>
            <w:tcBorders>
              <w:tl2br w:val="nil"/>
              <w:tr2bl w:val="nil"/>
            </w:tcBorders>
            <w:vAlign w:val="center"/>
          </w:tcPr>
          <w:p>
            <w:pPr>
              <w:spacing w:line="240" w:lineRule="auto"/>
              <w:jc w:val="center"/>
              <w:rPr>
                <w:rFonts w:hint="eastAsia"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定期检查、校正各种计量设备</w:t>
            </w:r>
            <w:r>
              <w:rPr>
                <w:rFonts w:hint="eastAsia" w:ascii="Times New Roman" w:hAnsi="Times New Roman" w:eastAsia="宋体" w:cs="Times New Roman"/>
                <w:sz w:val="21"/>
                <w:szCs w:val="21"/>
                <w:lang w:eastAsia="zh-CN"/>
              </w:rPr>
              <w:t>、补充用水计量装置</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2</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3个月，节约部分耗材，节约成本2000元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F04</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定期检查各项污染防治措施</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F05</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水 、电节能利用</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3个月，节约水电，节约成本1000元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F06</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1.0</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提高员工参与清洁生产主动性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F07</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0.05</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便于固废管理，主要为环境效益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F08</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节省纸张</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w:t>
            </w:r>
            <w:r>
              <w:rPr>
                <w:rFonts w:hint="default" w:ascii="Times New Roman" w:hAnsi="Times New Roman" w:eastAsia="宋体" w:cs="Times New Roman"/>
                <w:sz w:val="21"/>
                <w:szCs w:val="21"/>
              </w:rPr>
              <w:t>节省纸张</w:t>
            </w:r>
            <w:r>
              <w:rPr>
                <w:rFonts w:hint="default" w:ascii="Times New Roman" w:hAnsi="Times New Roman" w:eastAsia="宋体" w:cs="Times New Roman"/>
                <w:sz w:val="21"/>
                <w:szCs w:val="21"/>
                <w:lang w:val="en-US" w:eastAsia="zh-CN"/>
              </w:rPr>
              <w:t>100张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F09</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F10</w:t>
            </w:r>
          </w:p>
        </w:tc>
        <w:tc>
          <w:tcPr>
            <w:tcW w:w="3000" w:type="dxa"/>
            <w:vAlign w:val="center"/>
          </w:tcPr>
          <w:p>
            <w:pPr>
              <w:spacing w:line="240" w:lineRule="auto"/>
              <w:jc w:val="center"/>
              <w:rPr>
                <w:rFonts w:hint="default" w:ascii="Times New Roman" w:hAnsi="Times New Roman" w:eastAsia="宋体" w:cs="Times New Roman"/>
                <w:b w:val="0"/>
                <w:bCs/>
                <w:color w:val="000000"/>
                <w:spacing w:val="4"/>
                <w:kern w:val="0"/>
                <w:sz w:val="21"/>
                <w:szCs w:val="21"/>
                <w:lang w:val="en-US" w:eastAsia="zh-CN" w:bidi="ar-SA"/>
              </w:rPr>
            </w:pPr>
            <w:r>
              <w:rPr>
                <w:rFonts w:hint="default" w:ascii="Times New Roman" w:hAnsi="Times New Roman" w:eastAsia="宋体" w:cs="Times New Roman"/>
                <w:sz w:val="21"/>
                <w:szCs w:val="21"/>
              </w:rPr>
              <w:t>备品备件齐全</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F11</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完善岗位操作规范</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F12</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产品防潮、防尘、防火</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spacing w:val="4"/>
                <w:kern w:val="0"/>
                <w:sz w:val="21"/>
                <w:szCs w:val="21"/>
                <w:lang w:val="en-US" w:eastAsia="zh-CN" w:bidi="ar-SA"/>
              </w:rPr>
            </w:pPr>
            <w:r>
              <w:rPr>
                <w:rFonts w:hint="default" w:ascii="Times New Roman" w:hAnsi="Times New Roman" w:eastAsia="宋体" w:cs="Times New Roman"/>
                <w:sz w:val="21"/>
                <w:szCs w:val="21"/>
              </w:rPr>
              <w:t>F13</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提高员工参与清洁生产主动性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F14</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加强安全教育</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F15</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增加垃圾桶数量</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0.1</w:t>
            </w:r>
          </w:p>
        </w:tc>
        <w:tc>
          <w:tcPr>
            <w:tcW w:w="3486" w:type="dxa"/>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改善厂容厂貌，减少了废弃物的乱丢现象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F16</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及时调整工作班次</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3个月，节省成本3000元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F17</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应急预案的建立</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F18</w:t>
            </w:r>
          </w:p>
        </w:tc>
        <w:tc>
          <w:tcPr>
            <w:tcW w:w="3000"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设备使用规章制度</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3个月，避免设备空耗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9" w:type="dxa"/>
            <w:gridSpan w:val="4"/>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方案的实施在有效保障设备的高效运行、规范操作和增加效益的同时，改善工人的工作环境，降低劳动强度，保证安全生产，改善厂容厂貌，提升企业形象。</w:t>
            </w:r>
          </w:p>
        </w:tc>
      </w:tr>
    </w:tbl>
    <w:p>
      <w:pPr>
        <w:pStyle w:val="5"/>
        <w:bidi w:val="0"/>
        <w:rPr>
          <w:rFonts w:hint="default" w:ascii="Times New Roman" w:hAnsi="Times New Roman" w:cs="Times New Roman"/>
          <w:lang w:val="en-US" w:eastAsia="zh-CN"/>
        </w:rPr>
      </w:pPr>
      <w:r>
        <w:rPr>
          <w:rFonts w:hint="default" w:ascii="Times New Roman" w:hAnsi="Times New Roman" w:cs="Times New Roman"/>
          <w:lang w:val="en-US" w:eastAsia="zh-CN"/>
        </w:rPr>
        <w:t>7.3已完成的中高费方案的实施效果</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伴随着本次清洁生产审核工作的开展，企业适时地的组织资金，调动人力、物力对投资较大的方案进行实施，截止到报告编制完成时，两个中/高费方案均已实施完成，设备运行基本稳定，根据实施完成以来的生产记录，汇总已实施的中/高费方案带来的经济及环境效益，详见下表。</w:t>
      </w:r>
    </w:p>
    <w:p>
      <w:pPr>
        <w:keepNext w:val="0"/>
        <w:keepLines w:val="0"/>
        <w:widowControl w:val="0"/>
        <w:suppressLineNumbers w:val="0"/>
        <w:spacing w:before="0" w:beforeAutospacing="0" w:after="0" w:afterAutospacing="0" w:line="360" w:lineRule="auto"/>
        <w:ind w:right="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表7-5  企业已实施的中高费方案效益汇总表（2022.1~2022.3）</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2145"/>
        <w:gridCol w:w="1605"/>
        <w:gridCol w:w="351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方案编号</w:t>
            </w:r>
          </w:p>
        </w:tc>
        <w:tc>
          <w:tcPr>
            <w:tcW w:w="214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方案名称</w:t>
            </w:r>
          </w:p>
        </w:tc>
        <w:tc>
          <w:tcPr>
            <w:tcW w:w="1605"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投资（万元）</w:t>
            </w:r>
          </w:p>
        </w:tc>
        <w:tc>
          <w:tcPr>
            <w:tcW w:w="3518"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审核期间取得的效益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F19</w:t>
            </w:r>
          </w:p>
        </w:tc>
        <w:tc>
          <w:tcPr>
            <w:tcW w:w="214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eastAsia="zh-CN"/>
              </w:rPr>
              <w:t>酸雾处理</w:t>
            </w:r>
          </w:p>
        </w:tc>
        <w:tc>
          <w:tcPr>
            <w:tcW w:w="160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50</w:t>
            </w:r>
          </w:p>
        </w:tc>
        <w:tc>
          <w:tcPr>
            <w:tcW w:w="35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w:t>
            </w:r>
            <w:r>
              <w:rPr>
                <w:rFonts w:hint="default" w:ascii="Times New Roman" w:hAnsi="Times New Roman" w:eastAsia="宋体" w:cs="Times New Roman"/>
                <w:b w:val="0"/>
                <w:bCs w:val="0"/>
                <w:color w:val="auto"/>
                <w:sz w:val="21"/>
                <w:szCs w:val="21"/>
                <w:vertAlign w:val="baseline"/>
                <w:lang w:val="en-US" w:eastAsia="zh-CN"/>
              </w:rPr>
              <w:t>提高了酸雾处理效率，延长机械设备使用寿命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F20</w:t>
            </w:r>
          </w:p>
        </w:tc>
        <w:tc>
          <w:tcPr>
            <w:tcW w:w="214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生产废水分类处理</w:t>
            </w:r>
          </w:p>
        </w:tc>
        <w:tc>
          <w:tcPr>
            <w:tcW w:w="160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60</w:t>
            </w:r>
          </w:p>
        </w:tc>
        <w:tc>
          <w:tcPr>
            <w:tcW w:w="35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w:t>
            </w:r>
            <w:r>
              <w:rPr>
                <w:rFonts w:hint="default" w:ascii="Times New Roman" w:hAnsi="Times New Roman" w:eastAsia="宋体" w:cs="Times New Roman"/>
                <w:b w:val="0"/>
                <w:bCs w:val="0"/>
                <w:color w:val="auto"/>
                <w:sz w:val="21"/>
                <w:szCs w:val="21"/>
                <w:vertAlign w:val="baseline"/>
                <w:lang w:val="en-US" w:eastAsia="zh-CN"/>
              </w:rPr>
              <w:t>提高了废水处理效率，降低污水处理站运行负荷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4"/>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项目中高费方案的实施主要改善了项目厂区污染物治理系统，产生的效益主要为环境效益，使得酸雾的处理效率增加，大大降低了外排入大气环境的酸雾量，同时原本负荷较重的污水处理系统分成两部分进行，在</w:t>
            </w:r>
            <w:r>
              <w:rPr>
                <w:rFonts w:hint="eastAsia" w:ascii="Times New Roman" w:hAnsi="Times New Roman" w:eastAsia="宋体" w:cs="Times New Roman"/>
                <w:sz w:val="21"/>
                <w:szCs w:val="21"/>
                <w:lang w:eastAsia="zh-CN"/>
              </w:rPr>
              <w:t>避免废水互相渗透的影响</w:t>
            </w:r>
            <w:r>
              <w:rPr>
                <w:rFonts w:hint="default" w:ascii="Times New Roman" w:hAnsi="Times New Roman" w:eastAsia="宋体" w:cs="Times New Roman"/>
                <w:sz w:val="21"/>
                <w:szCs w:val="21"/>
                <w:lang w:eastAsia="zh-CN"/>
              </w:rPr>
              <w:t>同时也提高了废水的处理效率。</w:t>
            </w:r>
          </w:p>
        </w:tc>
      </w:tr>
    </w:tbl>
    <w:p>
      <w:pPr>
        <w:pStyle w:val="5"/>
        <w:bidi w:val="0"/>
        <w:rPr>
          <w:rFonts w:hint="default" w:ascii="Times New Roman" w:hAnsi="Times New Roman" w:cs="Times New Roman"/>
          <w:lang w:val="en-US" w:eastAsia="zh-CN"/>
        </w:rPr>
      </w:pPr>
      <w:r>
        <w:rPr>
          <w:rFonts w:hint="default" w:ascii="Times New Roman" w:hAnsi="Times New Roman" w:cs="Times New Roman"/>
          <w:lang w:val="en-US" w:eastAsia="zh-CN"/>
        </w:rPr>
        <w:t>7.4审核后污染物排放情况</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方案实施后对废气、废水进行了监测。监测期间生产工序正常，废气、废水处理设施正常运行。</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eastAsia="宋体" w:cs="Times New Roman"/>
          <w:sz w:val="24"/>
          <w:szCs w:val="24"/>
          <w:lang w:val="en-US" w:eastAsia="zh-CN"/>
        </w:rPr>
        <w:t>表 7-7 审核后吸收塔有组织废气监测结果</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861"/>
        <w:gridCol w:w="2141"/>
        <w:gridCol w:w="1117"/>
        <w:gridCol w:w="1117"/>
        <w:gridCol w:w="1117"/>
        <w:gridCol w:w="111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采样位置</w:t>
            </w:r>
          </w:p>
        </w:tc>
        <w:tc>
          <w:tcPr>
            <w:tcW w:w="3002" w:type="dxa"/>
            <w:gridSpan w:val="2"/>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检测项目</w:t>
            </w:r>
          </w:p>
        </w:tc>
        <w:tc>
          <w:tcPr>
            <w:tcW w:w="3351"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监测结果</w:t>
            </w:r>
          </w:p>
        </w:tc>
        <w:tc>
          <w:tcPr>
            <w:tcW w:w="1118"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检测均值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002"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351"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2022年3月11日</w:t>
            </w:r>
          </w:p>
        </w:tc>
        <w:tc>
          <w:tcPr>
            <w:tcW w:w="1118"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002"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第一次</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第二次</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第三次</w:t>
            </w:r>
          </w:p>
        </w:tc>
        <w:tc>
          <w:tcPr>
            <w:tcW w:w="1118"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1#吸收塔废气排放口</w:t>
            </w: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烟气参数</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排气筒高度（m）</w:t>
            </w:r>
          </w:p>
        </w:tc>
        <w:tc>
          <w:tcPr>
            <w:tcW w:w="4469"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大气压（kPa）</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100.55</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100.55</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100.55</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烟气温度（℃）</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烟气流速（m/s）</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7.7</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8.1</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标干废气流量（m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4.94×10</w:t>
            </w:r>
            <w:r>
              <w:rPr>
                <w:rFonts w:hint="default" w:ascii="Times New Roman" w:hAnsi="Times New Roman" w:eastAsia="宋体" w:cs="Times New Roman"/>
                <w:b w:val="0"/>
                <w:bCs w:val="0"/>
                <w:color w:val="auto"/>
                <w:sz w:val="21"/>
                <w:szCs w:val="21"/>
                <w:vertAlign w:val="superscript"/>
                <w:lang w:val="en-US" w:eastAsia="zh-CN"/>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5.09×10</w:t>
            </w:r>
            <w:r>
              <w:rPr>
                <w:rFonts w:hint="default" w:ascii="Times New Roman" w:hAnsi="Times New Roman" w:eastAsia="宋体" w:cs="Times New Roman"/>
                <w:b w:val="0"/>
                <w:bCs w:val="0"/>
                <w:color w:val="auto"/>
                <w:sz w:val="21"/>
                <w:szCs w:val="21"/>
                <w:vertAlign w:val="superscript"/>
                <w:lang w:val="en-US" w:eastAsia="zh-CN"/>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5.16×10</w:t>
            </w:r>
            <w:r>
              <w:rPr>
                <w:rFonts w:hint="default" w:ascii="Times New Roman" w:hAnsi="Times New Roman" w:eastAsia="宋体" w:cs="Times New Roman"/>
                <w:b w:val="0"/>
                <w:bCs w:val="0"/>
                <w:color w:val="auto"/>
                <w:sz w:val="21"/>
                <w:szCs w:val="21"/>
                <w:vertAlign w:val="superscript"/>
                <w:lang w:val="en-US" w:eastAsia="zh-CN"/>
              </w:rPr>
              <w:t>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5.06×10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氯化氢</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3.38</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3.06</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3.32</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3.25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1.67×10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1.56×10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1.71×10</w:t>
            </w:r>
            <w:r>
              <w:rPr>
                <w:rFonts w:hint="default" w:ascii="Times New Roman" w:hAnsi="Times New Roman" w:eastAsia="宋体" w:cs="Times New Roman"/>
                <w:b w:val="0"/>
                <w:bCs w:val="0"/>
                <w:color w:val="auto"/>
                <w:sz w:val="21"/>
                <w:szCs w:val="21"/>
                <w:vertAlign w:val="superscript"/>
                <w:lang w:val="en-US" w:eastAsia="zh-CN"/>
              </w:rPr>
              <w:t>-2</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1.64×10</w:t>
            </w:r>
            <w:r>
              <w:rPr>
                <w:rFonts w:hint="default" w:ascii="Times New Roman" w:hAnsi="Times New Roman" w:eastAsia="宋体" w:cs="Times New Roman"/>
                <w:b w:val="0"/>
                <w:bCs w:val="0"/>
                <w:color w:val="auto"/>
                <w:sz w:val="21"/>
                <w:szCs w:val="21"/>
                <w:vertAlign w:val="superscript"/>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硫酸雾</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1.82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1.74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1.75</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8.99×10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8.86×10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9.03×10</w:t>
            </w:r>
            <w:r>
              <w:rPr>
                <w:rFonts w:hint="default" w:ascii="Times New Roman" w:hAnsi="Times New Roman" w:eastAsia="宋体" w:cs="Times New Roman"/>
                <w:b w:val="0"/>
                <w:bCs w:val="0"/>
                <w:color w:val="auto"/>
                <w:sz w:val="21"/>
                <w:szCs w:val="21"/>
                <w:vertAlign w:val="superscript"/>
                <w:lang w:val="en-US" w:eastAsia="zh-CN"/>
              </w:rPr>
              <w:t>-3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8.96×10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2#吸收塔废气排放口</w:t>
            </w: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烟气参数</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排气筒高度（m）</w:t>
            </w:r>
          </w:p>
        </w:tc>
        <w:tc>
          <w:tcPr>
            <w:tcW w:w="4469"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大气压（kPa）</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100.52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100.52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100.51</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100.52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烟气温度（℃）</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18</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18</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烟气流速（m/s）</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11.1</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11.5</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11.5</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标干废气流量（m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1.03</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1.07</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4</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1.07</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4</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1.06</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氯化氢</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3.01</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2.75</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2.30</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2.69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3.10</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2.94</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2.46</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2.85</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硫酸雾</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1.47</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1.46</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1.48</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1.51×10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1.56</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1.58</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1.56</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05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3#吸收塔废气排放口</w:t>
            </w: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烟气参数</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排气筒高度（m）</w:t>
            </w:r>
          </w:p>
        </w:tc>
        <w:tc>
          <w:tcPr>
            <w:tcW w:w="4469"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大气压（kPa）</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100.5</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100.5</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100.5</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100.5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烟气温度（℃）</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38</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38</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37</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烟气流速（m/s）</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5.1</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5.2</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5.1</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标干废气流量（m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3.04</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3.12</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3.10</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3.09</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氯化氢</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2.68</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2.57</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2.76</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8.15</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8.02</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8.56</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8.24</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硫酸雾</w:t>
            </w: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1.66</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1.71</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1.75</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1.71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86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21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5.05</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5.34</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p>
        </w:tc>
        <w:tc>
          <w:tcPr>
            <w:tcW w:w="11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5.42</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5.27</w:t>
            </w:r>
            <w:r>
              <w:rPr>
                <w:rFonts w:hint="default" w:ascii="Times New Roman" w:hAnsi="Times New Roman" w:eastAsia="宋体" w:cs="Times New Roman"/>
                <w:b w:val="0"/>
                <w:bCs w:val="0"/>
                <w:color w:val="auto"/>
                <w:sz w:val="21"/>
                <w:szCs w:val="21"/>
                <w:vertAlign w:val="baseline"/>
                <w:lang w:val="en-US" w:eastAsia="zh-CN"/>
              </w:rPr>
              <w:t>×10</w:t>
            </w:r>
            <w:r>
              <w:rPr>
                <w:rFonts w:hint="default" w:ascii="Times New Roman" w:hAnsi="Times New Roman" w:eastAsia="宋体" w:cs="Times New Roman"/>
                <w:b w:val="0"/>
                <w:bCs w:val="0"/>
                <w:color w:val="auto"/>
                <w:sz w:val="21"/>
                <w:szCs w:val="21"/>
                <w:vertAlign w:val="superscript"/>
                <w:lang w:val="en-US" w:eastAsia="zh-CN"/>
              </w:rPr>
              <w:t>-3</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由上表可知，项目审核后酸雾吸收塔排放的氯化氢气体和硫酸雾均能满足《大气污染物综合排放标准》（GB16297-1996）表2中相关限值要求，能够达标排放</w:t>
      </w:r>
      <w:r>
        <w:rPr>
          <w:rFonts w:hint="eastAsia" w:ascii="Times New Roman" w:hAnsi="Times New Roman" w:cs="Times New Roman"/>
          <w:b w:val="0"/>
          <w:bCs w:val="0"/>
          <w:color w:val="auto"/>
          <w:sz w:val="24"/>
          <w:szCs w:val="24"/>
          <w:lang w:val="en-US" w:eastAsia="zh-CN"/>
        </w:rPr>
        <w:t>，根据监测数据结果取平均值进行分析，氯化氢的年排放量约为5.585×10</w:t>
      </w:r>
      <w:r>
        <w:rPr>
          <w:rFonts w:hint="eastAsia" w:ascii="Times New Roman" w:hAnsi="Times New Roman" w:cs="Times New Roman"/>
          <w:b w:val="0"/>
          <w:bCs w:val="0"/>
          <w:color w:val="auto"/>
          <w:sz w:val="24"/>
          <w:szCs w:val="24"/>
          <w:vertAlign w:val="superscript"/>
          <w:lang w:val="en-US" w:eastAsia="zh-CN"/>
        </w:rPr>
        <w:t>-2</w:t>
      </w:r>
      <w:r>
        <w:rPr>
          <w:rFonts w:hint="eastAsia" w:ascii="Times New Roman" w:hAnsi="Times New Roman" w:cs="Times New Roman"/>
          <w:b w:val="0"/>
          <w:bCs w:val="0"/>
          <w:color w:val="auto"/>
          <w:sz w:val="24"/>
          <w:szCs w:val="24"/>
          <w:lang w:val="en-US" w:eastAsia="zh-CN"/>
        </w:rPr>
        <w:t>×24×300÷1000=0.402t，硫酸雾的年排放量约为2.914×10</w:t>
      </w:r>
      <w:r>
        <w:rPr>
          <w:rFonts w:hint="eastAsia" w:ascii="Times New Roman" w:hAnsi="Times New Roman" w:cs="Times New Roman"/>
          <w:b w:val="0"/>
          <w:bCs w:val="0"/>
          <w:color w:val="auto"/>
          <w:sz w:val="24"/>
          <w:szCs w:val="24"/>
          <w:vertAlign w:val="superscript"/>
          <w:lang w:val="en-US" w:eastAsia="zh-CN"/>
        </w:rPr>
        <w:t>-2</w:t>
      </w:r>
      <w:r>
        <w:rPr>
          <w:rFonts w:hint="eastAsia" w:ascii="Times New Roman" w:hAnsi="Times New Roman" w:cs="Times New Roman"/>
          <w:b w:val="0"/>
          <w:bCs w:val="0"/>
          <w:color w:val="auto"/>
          <w:sz w:val="24"/>
          <w:szCs w:val="24"/>
          <w:lang w:val="en-US" w:eastAsia="zh-CN"/>
        </w:rPr>
        <w:t>×24×300÷1000=0.210t</w:t>
      </w:r>
      <w:r>
        <w:rPr>
          <w:rFonts w:hint="default" w:ascii="Times New Roman" w:hAnsi="Times New Roman" w:cs="Times New Roman"/>
          <w:b w:val="0"/>
          <w:bCs w:val="0"/>
          <w:color w:val="auto"/>
          <w:sz w:val="24"/>
          <w:szCs w:val="24"/>
          <w:lang w:val="en-US" w:eastAsia="zh-CN"/>
        </w:rPr>
        <w:t>。</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表7-8  审核后锅炉废气排放情况一览表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09"/>
        <w:gridCol w:w="991"/>
        <w:gridCol w:w="2464"/>
        <w:gridCol w:w="1286"/>
        <w:gridCol w:w="1286"/>
        <w:gridCol w:w="12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采样位置</w:t>
            </w:r>
          </w:p>
        </w:tc>
        <w:tc>
          <w:tcPr>
            <w:tcW w:w="3455" w:type="dxa"/>
            <w:gridSpan w:val="2"/>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检测项目</w:t>
            </w:r>
          </w:p>
        </w:tc>
        <w:tc>
          <w:tcPr>
            <w:tcW w:w="3858"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监测结果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455"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858"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2022年3月11日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455"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第一次</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第二次</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第三次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锅炉废气排放口</w:t>
            </w:r>
          </w:p>
        </w:tc>
        <w:tc>
          <w:tcPr>
            <w:tcW w:w="99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烟气参数</w:t>
            </w: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大气压（kPa）</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100.44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100.44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100.43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烟气温度（℃）</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85.5</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85.9</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烟气流速（m/s）</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10.9</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11.0</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含氧量（%）</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标干废气流量（m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/h）</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3.43×10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3.44×10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3.36×10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颗粒物</w:t>
            </w: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折算浓度（mg/m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5.14×10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5.16×10</w:t>
            </w:r>
            <w:r>
              <w:rPr>
                <w:rFonts w:hint="default" w:ascii="Times New Roman" w:hAnsi="Times New Roman" w:eastAsia="宋体" w:cs="Times New Roman"/>
                <w:b w:val="0"/>
                <w:bCs w:val="0"/>
                <w:color w:val="auto"/>
                <w:sz w:val="21"/>
                <w:szCs w:val="21"/>
                <w:vertAlign w:val="superscript"/>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5.71×10</w:t>
            </w:r>
            <w:r>
              <w:rPr>
                <w:rFonts w:hint="default" w:ascii="Times New Roman" w:hAnsi="Times New Roman" w:eastAsia="宋体" w:cs="Times New Roman"/>
                <w:b w:val="0"/>
                <w:bCs w:val="0"/>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二氧化硫</w:t>
            </w: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折算浓度（mg/m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1.03×10</w:t>
            </w:r>
            <w:r>
              <w:rPr>
                <w:rFonts w:hint="default" w:ascii="Times New Roman" w:hAnsi="Times New Roman" w:eastAsia="宋体" w:cs="Times New Roman"/>
                <w:b w:val="0"/>
                <w:bCs w:val="0"/>
                <w:color w:val="auto"/>
                <w:sz w:val="21"/>
                <w:szCs w:val="21"/>
                <w:vertAlign w:val="superscript"/>
                <w:lang w:val="en-US" w:eastAsia="zh-CN"/>
              </w:rPr>
              <w:t>-2</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1.03×10</w:t>
            </w:r>
            <w:r>
              <w:rPr>
                <w:rFonts w:hint="default" w:ascii="Times New Roman" w:hAnsi="Times New Roman" w:eastAsia="宋体" w:cs="Times New Roman"/>
                <w:b w:val="0"/>
                <w:bCs w:val="0"/>
                <w:color w:val="auto"/>
                <w:sz w:val="21"/>
                <w:szCs w:val="21"/>
                <w:vertAlign w:val="superscript"/>
                <w:lang w:val="en-US" w:eastAsia="zh-CN"/>
              </w:rPr>
              <w:t>-2</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1.03×10</w:t>
            </w:r>
            <w:r>
              <w:rPr>
                <w:rFonts w:hint="default" w:ascii="Times New Roman" w:hAnsi="Times New Roman" w:eastAsia="宋体" w:cs="Times New Roman"/>
                <w:b w:val="0"/>
                <w:bCs w:val="0"/>
                <w:color w:val="auto"/>
                <w:sz w:val="21"/>
                <w:szCs w:val="21"/>
                <w:vertAlign w:val="superscript"/>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氮氧化物</w:t>
            </w: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实测浓度（mg/m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折算浓度（mg/m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99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排放量（kg/h）</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2.06×10</w:t>
            </w:r>
            <w:r>
              <w:rPr>
                <w:rFonts w:hint="default" w:ascii="Times New Roman" w:hAnsi="Times New Roman" w:eastAsia="宋体" w:cs="Times New Roman"/>
                <w:b w:val="0"/>
                <w:bCs w:val="0"/>
                <w:color w:val="auto"/>
                <w:sz w:val="21"/>
                <w:szCs w:val="21"/>
                <w:vertAlign w:val="superscript"/>
                <w:lang w:val="en-US" w:eastAsia="zh-CN"/>
              </w:rPr>
              <w:t>-2</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2.06×10</w:t>
            </w:r>
            <w:r>
              <w:rPr>
                <w:rFonts w:hint="default" w:ascii="Times New Roman" w:hAnsi="Times New Roman" w:eastAsia="宋体" w:cs="Times New Roman"/>
                <w:b w:val="0"/>
                <w:bCs w:val="0"/>
                <w:color w:val="auto"/>
                <w:sz w:val="21"/>
                <w:szCs w:val="21"/>
                <w:vertAlign w:val="superscript"/>
                <w:lang w:val="en-US" w:eastAsia="zh-CN"/>
              </w:rPr>
              <w:t>-2</w:t>
            </w:r>
          </w:p>
        </w:tc>
        <w:tc>
          <w:tcPr>
            <w:tcW w:w="128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2.35×10</w:t>
            </w:r>
            <w:r>
              <w:rPr>
                <w:rFonts w:hint="default" w:ascii="Times New Roman" w:hAnsi="Times New Roman" w:eastAsia="宋体" w:cs="Times New Roman"/>
                <w:b w:val="0"/>
                <w:bCs w:val="0"/>
                <w:color w:val="auto"/>
                <w:sz w:val="21"/>
                <w:szCs w:val="21"/>
                <w:vertAlign w:val="superscript"/>
                <w:lang w:val="en-US" w:eastAsia="zh-CN"/>
              </w:rPr>
              <w:t>-2</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由上表可知，项目审核后锅炉尾气中颗粒物、二氧化硫、氮氧化物的排放均能满足《锅炉大气污染物排放标准》（DB41/2089-2021）中相关限值要求，能够达标排放。</w:t>
      </w:r>
    </w:p>
    <w:p>
      <w:pPr>
        <w:spacing w:line="360" w:lineRule="auto"/>
        <w:ind w:firstLine="480" w:firstLineChars="200"/>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cs="Times New Roman"/>
          <w:b w:val="0"/>
          <w:bCs w:val="0"/>
          <w:color w:val="auto"/>
          <w:sz w:val="24"/>
          <w:szCs w:val="24"/>
          <w:lang w:val="en-US" w:eastAsia="zh-CN"/>
        </w:rPr>
        <w:t>表7-9  审核后无组织废气排放情况一览表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1390"/>
        <w:gridCol w:w="1185"/>
        <w:gridCol w:w="1185"/>
        <w:gridCol w:w="1186"/>
        <w:gridCol w:w="1186"/>
        <w:gridCol w:w="117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4" w:type="dxa"/>
            <w:gridSpan w:val="2"/>
            <w:vMerge w:val="restart"/>
            <w:tcBorders>
              <w:tl2br w:val="single" w:color="auto" w:sz="4" w:space="0"/>
            </w:tcBorders>
            <w:vAlign w:val="center"/>
          </w:tcPr>
          <w:p>
            <w:pPr>
              <w:spacing w:line="240" w:lineRule="auto"/>
              <w:jc w:val="righ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采样点位</w:t>
            </w:r>
          </w:p>
          <w:p>
            <w:pPr>
              <w:spacing w:line="240" w:lineRule="auto"/>
              <w:jc w:val="right"/>
              <w:rPr>
                <w:rFonts w:hint="default" w:ascii="Times New Roman" w:hAnsi="Times New Roman" w:eastAsia="宋体" w:cs="Times New Roman"/>
                <w:sz w:val="21"/>
                <w:szCs w:val="21"/>
                <w:vertAlign w:val="baseline"/>
                <w:lang w:val="en-US" w:eastAsia="zh-CN"/>
              </w:rPr>
            </w:pPr>
          </w:p>
          <w:p>
            <w:pPr>
              <w:spacing w:line="240" w:lineRule="auto"/>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采样时间</w:t>
            </w:r>
          </w:p>
        </w:tc>
        <w:tc>
          <w:tcPr>
            <w:tcW w:w="4742" w:type="dxa"/>
            <w:gridSpan w:val="4"/>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氯化氢监测结果（mg/m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vertAlign w:val="baseline"/>
                <w:lang w:val="en-US" w:eastAsia="zh-CN"/>
              </w:rPr>
              <w:t>）</w:t>
            </w:r>
          </w:p>
        </w:tc>
        <w:tc>
          <w:tcPr>
            <w:tcW w:w="1176" w:type="dxa"/>
            <w:vMerge w:val="restar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气象条件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4"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上风向1#</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下风向1#</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下风向2#</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下风向3#</w:t>
            </w:r>
          </w:p>
        </w:tc>
        <w:tc>
          <w:tcPr>
            <w:tcW w:w="1176"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4" w:type="dxa"/>
            <w:vMerge w:val="restar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2022.3.11</w:t>
            </w:r>
          </w:p>
        </w:tc>
        <w:tc>
          <w:tcPr>
            <w:tcW w:w="139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08:30-09:30</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0.025</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76" w:type="dxa"/>
            <w:vMerge w:val="restar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检测时：</w:t>
            </w:r>
            <w:r>
              <w:rPr>
                <w:rFonts w:hint="default" w:ascii="Times New Roman" w:hAnsi="Times New Roman" w:eastAsia="宋体" w:cs="Times New Roman"/>
                <w:sz w:val="21"/>
                <w:szCs w:val="21"/>
                <w:vertAlign w:val="baseline"/>
                <w:lang w:val="en-US" w:eastAsia="zh-CN"/>
              </w:rPr>
              <w:br w:type="textWrapping"/>
            </w:r>
            <w:r>
              <w:rPr>
                <w:rFonts w:hint="default" w:ascii="Times New Roman" w:hAnsi="Times New Roman" w:eastAsia="宋体" w:cs="Times New Roman"/>
                <w:sz w:val="21"/>
                <w:szCs w:val="21"/>
                <w:vertAlign w:val="baseline"/>
                <w:lang w:val="en-US" w:eastAsia="zh-CN"/>
              </w:rPr>
              <w:t>平均温度：11.5℃</w:t>
            </w:r>
            <w:r>
              <w:rPr>
                <w:rFonts w:hint="default" w:ascii="Times New Roman" w:hAnsi="Times New Roman" w:eastAsia="宋体" w:cs="Times New Roman"/>
                <w:sz w:val="21"/>
                <w:szCs w:val="21"/>
                <w:vertAlign w:val="baseline"/>
                <w:lang w:val="en-US" w:eastAsia="zh-CN"/>
              </w:rPr>
              <w:br w:type="textWrapping"/>
            </w:r>
            <w:r>
              <w:rPr>
                <w:rFonts w:hint="default" w:ascii="Times New Roman" w:hAnsi="Times New Roman" w:eastAsia="宋体" w:cs="Times New Roman"/>
                <w:sz w:val="21"/>
                <w:szCs w:val="21"/>
                <w:vertAlign w:val="baseline"/>
                <w:lang w:val="en-US" w:eastAsia="zh-CN"/>
              </w:rPr>
              <w:t>平均气压：100.5kPa</w:t>
            </w:r>
            <w:r>
              <w:rPr>
                <w:rFonts w:hint="default" w:ascii="Times New Roman" w:hAnsi="Times New Roman" w:eastAsia="宋体" w:cs="Times New Roman"/>
                <w:sz w:val="21"/>
                <w:szCs w:val="21"/>
                <w:vertAlign w:val="baseline"/>
                <w:lang w:val="en-US" w:eastAsia="zh-CN"/>
              </w:rPr>
              <w:br w:type="textWrapping"/>
            </w:r>
            <w:r>
              <w:rPr>
                <w:rFonts w:hint="default" w:ascii="Times New Roman" w:hAnsi="Times New Roman" w:eastAsia="宋体" w:cs="Times New Roman"/>
                <w:sz w:val="21"/>
                <w:szCs w:val="21"/>
                <w:vertAlign w:val="baseline"/>
                <w:lang w:val="en-US" w:eastAsia="zh-CN"/>
              </w:rPr>
              <w:t>风速：2.8m/s</w:t>
            </w:r>
            <w:r>
              <w:rPr>
                <w:rFonts w:hint="default" w:ascii="Times New Roman" w:hAnsi="Times New Roman" w:eastAsia="宋体" w:cs="Times New Roman"/>
                <w:sz w:val="21"/>
                <w:szCs w:val="21"/>
                <w:vertAlign w:val="baseline"/>
                <w:lang w:val="en-US" w:eastAsia="zh-CN"/>
              </w:rPr>
              <w:br w:type="textWrapping"/>
            </w:r>
            <w:r>
              <w:rPr>
                <w:rFonts w:hint="default" w:ascii="Times New Roman" w:hAnsi="Times New Roman" w:eastAsia="宋体" w:cs="Times New Roman"/>
                <w:sz w:val="21"/>
                <w:szCs w:val="21"/>
                <w:vertAlign w:val="baseline"/>
                <w:lang w:val="en-US" w:eastAsia="zh-CN"/>
              </w:rPr>
              <w:t>风向：东北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4"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c>
          <w:tcPr>
            <w:tcW w:w="139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09:40-10:40</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0.027</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76"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4"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c>
          <w:tcPr>
            <w:tcW w:w="139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10:55-11:55</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0.028</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76"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4" w:type="dxa"/>
            <w:gridSpan w:val="2"/>
            <w:vMerge w:val="restart"/>
            <w:tcBorders>
              <w:tl2br w:val="single" w:color="auto" w:sz="4" w:space="0"/>
            </w:tcBorders>
            <w:vAlign w:val="center"/>
          </w:tcPr>
          <w:p>
            <w:pPr>
              <w:spacing w:line="240" w:lineRule="auto"/>
              <w:jc w:val="righ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采样点位</w:t>
            </w:r>
          </w:p>
          <w:p>
            <w:pPr>
              <w:spacing w:line="240" w:lineRule="auto"/>
              <w:jc w:val="right"/>
              <w:rPr>
                <w:rFonts w:hint="default" w:ascii="Times New Roman" w:hAnsi="Times New Roman" w:eastAsia="宋体" w:cs="Times New Roman"/>
                <w:sz w:val="21"/>
                <w:szCs w:val="21"/>
                <w:vertAlign w:val="baseline"/>
                <w:lang w:val="en-US" w:eastAsia="zh-CN"/>
              </w:rPr>
            </w:pPr>
          </w:p>
          <w:p>
            <w:pPr>
              <w:spacing w:line="240" w:lineRule="auto"/>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采样时间</w:t>
            </w:r>
          </w:p>
        </w:tc>
        <w:tc>
          <w:tcPr>
            <w:tcW w:w="4742" w:type="dxa"/>
            <w:gridSpan w:val="4"/>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硫酸雾监测结果（mg/m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vertAlign w:val="baseline"/>
                <w:lang w:val="en-US" w:eastAsia="zh-CN"/>
              </w:rPr>
              <w:t>）</w:t>
            </w:r>
          </w:p>
        </w:tc>
        <w:tc>
          <w:tcPr>
            <w:tcW w:w="1176"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4" w:type="dxa"/>
            <w:gridSpan w:val="2"/>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上风向1#</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下风向1#</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下风向2#</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下风向3#</w:t>
            </w:r>
          </w:p>
        </w:tc>
        <w:tc>
          <w:tcPr>
            <w:tcW w:w="1176"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4" w:type="dxa"/>
            <w:vMerge w:val="restar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2022.3.11</w:t>
            </w:r>
          </w:p>
        </w:tc>
        <w:tc>
          <w:tcPr>
            <w:tcW w:w="139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08:30-09:30</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0.051</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0.069</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0.095</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0.069</w:t>
            </w:r>
          </w:p>
        </w:tc>
        <w:tc>
          <w:tcPr>
            <w:tcW w:w="1176"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4"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c>
          <w:tcPr>
            <w:tcW w:w="139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09:40-10:40</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0.067</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0.094</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0.067</w:t>
            </w:r>
          </w:p>
        </w:tc>
        <w:tc>
          <w:tcPr>
            <w:tcW w:w="1176"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4"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c>
          <w:tcPr>
            <w:tcW w:w="139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10:55-11:55</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未检出</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0.067</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0.090</w:t>
            </w:r>
          </w:p>
        </w:tc>
        <w:tc>
          <w:tcPr>
            <w:tcW w:w="1186"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0.066</w:t>
            </w:r>
          </w:p>
        </w:tc>
        <w:tc>
          <w:tcPr>
            <w:tcW w:w="1176"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由上表可知，项目审核后无组织排放的氯化氢气体和硫酸雾均能满足《大气污染物综合排放标准》（GB16297-1996）表2中相关周界无组织排放限值要求，能够达标排放。</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表7-10  审核后废水排放情况一览表   单位：mg/L</w:t>
      </w:r>
    </w:p>
    <w:tbl>
      <w:tblPr>
        <w:tblStyle w:val="2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775"/>
        <w:gridCol w:w="867"/>
        <w:gridCol w:w="919"/>
        <w:gridCol w:w="841"/>
        <w:gridCol w:w="864"/>
        <w:gridCol w:w="808"/>
        <w:gridCol w:w="750"/>
        <w:gridCol w:w="75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single" w:color="auto" w:sz="4" w:space="0"/>
            </w:tcBorders>
            <w:vAlign w:val="center"/>
          </w:tcPr>
          <w:p>
            <w:pPr>
              <w:spacing w:line="240" w:lineRule="auto"/>
              <w:jc w:val="righ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 xml:space="preserve"> 检测项目</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采样时间、地点</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PH</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COD</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SS</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vertAlign w:val="baseline"/>
                <w:lang w:val="en-US" w:eastAsia="zh-CN"/>
              </w:rPr>
              <w:t>-N</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TP</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TN</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石油类</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总镍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2021年3月11日</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废水总排口第一次</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7.4</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49</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24</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5.77</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0.38</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10.4</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1.33</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2021年3月11日</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废水总排口第二次</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7.5</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51</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24</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5.49</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0.41</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9.46</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1.21</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2021年3月11日</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废水总排口第三次</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7.3</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55</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21</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5.82</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0.41</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11.0</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1.38</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《电镀污染物排放标准》（GB21900-2008）表2</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6-9</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50</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15</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新乡市小尚庄污水处理厂收水水质标准</w:t>
            </w:r>
          </w:p>
        </w:tc>
        <w:tc>
          <w:tcPr>
            <w:tcW w:w="7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350</w:t>
            </w:r>
          </w:p>
        </w:tc>
        <w:tc>
          <w:tcPr>
            <w:tcW w:w="9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200</w:t>
            </w:r>
          </w:p>
        </w:tc>
        <w:tc>
          <w:tcPr>
            <w:tcW w:w="84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35</w:t>
            </w:r>
          </w:p>
        </w:tc>
        <w:tc>
          <w:tcPr>
            <w:tcW w:w="8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80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8517" w:type="dxa"/>
            <w:gridSpan w:val="9"/>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注：根据《污水检测技术规范》（HJ91.1-2019）当检测结果低于方法检出限时，报使用的“方法检出限”，并加标志“L”表示</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由上表可知该项目废水出水均能够满足《电镀污染物排放标准》（GB21900-2008）中企业废水总排口污染物排放限值要求，同时满足新乡市小尚庄污水处理厂收水水质标准要求。</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表7-11  审核后厂界噪声监测结果一览表  </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09"/>
        <w:gridCol w:w="2550"/>
        <w:gridCol w:w="296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检测日期</w:t>
            </w:r>
          </w:p>
        </w:tc>
        <w:tc>
          <w:tcPr>
            <w:tcW w:w="255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测点位置</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昼间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0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5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Leq[dB(A)]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2021年3月11日</w:t>
            </w:r>
          </w:p>
        </w:tc>
        <w:tc>
          <w:tcPr>
            <w:tcW w:w="25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东厂界外1m</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53.8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5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南厂界外1m</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53.4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5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北厂界外1m</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54.1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《工业企业厂界环境噪声排放标准》（GB12348-2008）2类</w:t>
            </w:r>
          </w:p>
        </w:tc>
        <w:tc>
          <w:tcPr>
            <w:tcW w:w="25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昼间</w:t>
            </w:r>
          </w:p>
        </w:tc>
        <w:tc>
          <w:tcPr>
            <w:tcW w:w="296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3"/>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注：项目西厂界为共用墙，无法监测。</w:t>
            </w:r>
          </w:p>
        </w:tc>
      </w:tr>
    </w:tbl>
    <w:p>
      <w:pPr>
        <w:spacing w:line="360" w:lineRule="auto"/>
        <w:ind w:firstLine="480" w:firstLineChars="200"/>
        <w:jc w:val="both"/>
        <w:rPr>
          <w:rFonts w:hint="default" w:ascii="Times New Roman" w:hAnsi="Times New Roman" w:eastAsia="宋体" w:cs="Times New Roman"/>
          <w:sz w:val="24"/>
          <w:szCs w:val="24"/>
          <w:lang w:val="en-US" w:eastAsia="zh-CN"/>
        </w:rPr>
      </w:pPr>
      <w:r>
        <w:rPr>
          <w:rFonts w:hint="default" w:ascii="Times New Roman" w:hAnsi="Times New Roman" w:cs="Times New Roman"/>
          <w:b w:val="0"/>
          <w:bCs w:val="0"/>
          <w:color w:val="auto"/>
          <w:sz w:val="24"/>
          <w:szCs w:val="24"/>
          <w:lang w:val="en-US" w:eastAsia="zh-CN"/>
        </w:rPr>
        <w:t>由上表可知，项目南、北厂界监测点位昼间噪声监测值能够满足《工业企业厂界环境噪声排放标准》（GB12348-2008）2 类标准限值要求。</w:t>
      </w:r>
      <w:r>
        <w:rPr>
          <w:rFonts w:hint="default" w:ascii="Times New Roman" w:hAnsi="Times New Roman" w:eastAsia="宋体" w:cs="Times New Roman"/>
          <w:sz w:val="24"/>
          <w:szCs w:val="24"/>
          <w:lang w:val="en-US" w:eastAsia="zh-CN"/>
        </w:rPr>
        <w:br w:type="textWrapping"/>
      </w:r>
      <w:r>
        <w:rPr>
          <w:rStyle w:val="27"/>
          <w:rFonts w:hint="default" w:ascii="Times New Roman" w:hAnsi="Times New Roman" w:cs="Times New Roman"/>
          <w:lang w:val="en-US" w:eastAsia="zh-CN"/>
        </w:rPr>
        <w:t>7.5审核后目标完成情况</w:t>
      </w:r>
      <w:r>
        <w:rPr>
          <w:rFonts w:hint="default" w:ascii="Times New Roman" w:hAnsi="Times New Roman" w:eastAsia="宋体" w:cs="Times New Roman"/>
          <w:sz w:val="24"/>
          <w:szCs w:val="24"/>
          <w:lang w:val="en-US" w:eastAsia="zh-CN"/>
        </w:rPr>
        <w:br w:type="textWrapping"/>
      </w:r>
      <w:r>
        <w:rPr>
          <w:rFonts w:hint="default" w:ascii="Times New Roman" w:hAnsi="Times New Roman" w:eastAsia="宋体" w:cs="Times New Roman"/>
          <w:sz w:val="24"/>
          <w:szCs w:val="24"/>
          <w:lang w:val="en-US" w:eastAsia="zh-CN"/>
        </w:rPr>
        <w:t xml:space="preserve">    截止到2022年3月，本轮清洁生产审核目标全部，详见下表。</w:t>
      </w:r>
    </w:p>
    <w:p>
      <w:pPr>
        <w:spacing w:line="360" w:lineRule="auto"/>
        <w:jc w:val="center"/>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7</w:t>
      </w:r>
      <w:r>
        <w:rPr>
          <w:rFonts w:hint="default" w:ascii="Times New Roman" w:hAnsi="Times New Roman" w:cs="Times New Roman"/>
          <w:b w:val="0"/>
          <w:bCs w:val="0"/>
          <w:color w:val="auto"/>
          <w:sz w:val="24"/>
          <w:szCs w:val="24"/>
          <w:lang w:eastAsia="zh-CN"/>
        </w:rPr>
        <w:t>-1</w:t>
      </w:r>
      <w:r>
        <w:rPr>
          <w:rFonts w:hint="default"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eastAsia="zh-CN"/>
        </w:rPr>
        <w:t xml:space="preserve">  清</w:t>
      </w:r>
      <w:r>
        <w:rPr>
          <w:rFonts w:hint="default" w:ascii="Times New Roman" w:hAnsi="Times New Roman" w:cs="Times New Roman"/>
          <w:b w:val="0"/>
          <w:bCs w:val="0"/>
          <w:color w:val="000000" w:themeColor="text1"/>
          <w:sz w:val="24"/>
          <w:szCs w:val="24"/>
          <w:lang w:eastAsia="zh-CN"/>
          <w14:textFill>
            <w14:solidFill>
              <w14:schemeClr w14:val="tx1"/>
            </w14:solidFill>
          </w14:textFill>
        </w:rPr>
        <w:t>洁生产目标一览表</w:t>
      </w:r>
    </w:p>
    <w:tbl>
      <w:tblPr>
        <w:tblStyle w:val="2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1"/>
        <w:gridCol w:w="775"/>
        <w:gridCol w:w="1048"/>
        <w:gridCol w:w="936"/>
        <w:gridCol w:w="1002"/>
        <w:gridCol w:w="891"/>
        <w:gridCol w:w="993"/>
        <w:gridCol w:w="912"/>
        <w:gridCol w:w="9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rPr>
              <w:t>项目</w:t>
            </w:r>
          </w:p>
        </w:tc>
        <w:tc>
          <w:tcPr>
            <w:tcW w:w="775"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lang w:eastAsia="zh-CN"/>
              </w:rPr>
              <w:t>单位</w:t>
            </w:r>
          </w:p>
        </w:tc>
        <w:tc>
          <w:tcPr>
            <w:tcW w:w="1048"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现状</w:t>
            </w:r>
          </w:p>
        </w:tc>
        <w:tc>
          <w:tcPr>
            <w:tcW w:w="1938" w:type="dxa"/>
            <w:gridSpan w:val="2"/>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20</w:t>
            </w:r>
            <w:r>
              <w:rPr>
                <w:rFonts w:hint="default" w:ascii="Times New Roman" w:hAnsi="Times New Roman" w:eastAsia="宋体" w:cs="Times New Roman"/>
                <w:color w:val="auto"/>
                <w:sz w:val="21"/>
                <w:szCs w:val="21"/>
                <w:u w:val="none"/>
                <w:lang w:val="en-US" w:eastAsia="zh-CN"/>
              </w:rPr>
              <w:t>22</w:t>
            </w:r>
            <w:r>
              <w:rPr>
                <w:rFonts w:hint="default" w:ascii="Times New Roman" w:hAnsi="Times New Roman" w:eastAsia="宋体" w:cs="Times New Roman"/>
                <w:color w:val="auto"/>
                <w:sz w:val="21"/>
                <w:szCs w:val="21"/>
                <w:u w:val="none"/>
              </w:rPr>
              <w:t>年目标</w:t>
            </w:r>
          </w:p>
        </w:tc>
        <w:tc>
          <w:tcPr>
            <w:tcW w:w="1884" w:type="dxa"/>
            <w:gridSpan w:val="2"/>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lang w:eastAsia="zh-CN"/>
              </w:rPr>
              <w:t>审核后现状（</w:t>
            </w:r>
            <w:r>
              <w:rPr>
                <w:rFonts w:hint="default" w:ascii="Times New Roman" w:hAnsi="Times New Roman" w:eastAsia="宋体" w:cs="Times New Roman"/>
                <w:color w:val="auto"/>
                <w:sz w:val="21"/>
                <w:szCs w:val="21"/>
                <w:u w:val="none"/>
                <w:lang w:val="en-US" w:eastAsia="zh-CN"/>
              </w:rPr>
              <w:t>2022.3</w:t>
            </w:r>
            <w:r>
              <w:rPr>
                <w:rFonts w:hint="default" w:ascii="Times New Roman" w:hAnsi="Times New Roman" w:eastAsia="宋体" w:cs="Times New Roman"/>
                <w:color w:val="auto"/>
                <w:sz w:val="21"/>
                <w:szCs w:val="21"/>
                <w:u w:val="none"/>
                <w:lang w:eastAsia="zh-CN"/>
              </w:rPr>
              <w:t>）</w:t>
            </w:r>
          </w:p>
        </w:tc>
        <w:tc>
          <w:tcPr>
            <w:tcW w:w="1826" w:type="dxa"/>
            <w:gridSpan w:val="2"/>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lang w:eastAsia="zh-CN"/>
              </w:rPr>
              <w:t>远期目标</w:t>
            </w:r>
          </w:p>
          <w:p>
            <w:pPr>
              <w:spacing w:line="240" w:lineRule="auto"/>
              <w:jc w:val="center"/>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lang w:eastAsia="zh-CN"/>
              </w:rPr>
              <w:t>（</w:t>
            </w:r>
            <w:r>
              <w:rPr>
                <w:rFonts w:hint="default" w:ascii="Times New Roman" w:hAnsi="Times New Roman" w:eastAsia="宋体" w:cs="Times New Roman"/>
                <w:color w:val="auto"/>
                <w:sz w:val="21"/>
                <w:szCs w:val="21"/>
                <w:u w:val="none"/>
                <w:lang w:val="en-US" w:eastAsia="zh-CN"/>
              </w:rPr>
              <w:t>2025年</w:t>
            </w:r>
            <w:r>
              <w:rPr>
                <w:rFonts w:hint="default" w:ascii="Times New Roman" w:hAnsi="Times New Roman" w:eastAsia="宋体" w:cs="Times New Roman"/>
                <w:color w:val="auto"/>
                <w:sz w:val="21"/>
                <w:szCs w:val="21"/>
                <w:u w:val="no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rPr>
            </w:pPr>
          </w:p>
        </w:tc>
        <w:tc>
          <w:tcPr>
            <w:tcW w:w="775"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rPr>
            </w:pPr>
          </w:p>
        </w:tc>
        <w:tc>
          <w:tcPr>
            <w:tcW w:w="1048"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rPr>
            </w:pPr>
          </w:p>
        </w:tc>
        <w:tc>
          <w:tcPr>
            <w:tcW w:w="936"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lang w:eastAsia="zh-CN"/>
              </w:rPr>
              <w:t>目标值</w:t>
            </w:r>
          </w:p>
        </w:tc>
        <w:tc>
          <w:tcPr>
            <w:tcW w:w="1002"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rPr>
              <w:t>削减</w:t>
            </w:r>
          </w:p>
        </w:tc>
        <w:tc>
          <w:tcPr>
            <w:tcW w:w="89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lang w:eastAsia="zh-CN"/>
              </w:rPr>
              <w:t>目标值</w:t>
            </w:r>
          </w:p>
        </w:tc>
        <w:tc>
          <w:tcPr>
            <w:tcW w:w="993"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削减</w:t>
            </w:r>
          </w:p>
        </w:tc>
        <w:tc>
          <w:tcPr>
            <w:tcW w:w="912"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lang w:eastAsia="zh-CN"/>
              </w:rPr>
              <w:t>目标值</w:t>
            </w:r>
          </w:p>
        </w:tc>
        <w:tc>
          <w:tcPr>
            <w:tcW w:w="914"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rPr>
              <w:t>削减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单位产品每次清洗取水量</w:t>
            </w:r>
          </w:p>
        </w:tc>
        <w:tc>
          <w:tcPr>
            <w:tcW w:w="775"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L/m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-产品</w:t>
            </w:r>
          </w:p>
        </w:tc>
        <w:tc>
          <w:tcPr>
            <w:tcW w:w="1048"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30.36</w:t>
            </w:r>
          </w:p>
        </w:tc>
        <w:tc>
          <w:tcPr>
            <w:tcW w:w="936"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kern w:val="2"/>
                <w:sz w:val="21"/>
                <w:szCs w:val="21"/>
                <w:u w:val="none"/>
                <w:lang w:val="en-US" w:eastAsia="zh-CN" w:bidi="ar-SA"/>
              </w:rPr>
              <w:t>28.84</w:t>
            </w:r>
          </w:p>
        </w:tc>
        <w:tc>
          <w:tcPr>
            <w:tcW w:w="1002"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5</w:t>
            </w:r>
            <w:r>
              <w:rPr>
                <w:rFonts w:hint="default" w:ascii="Times New Roman" w:hAnsi="Times New Roman" w:eastAsia="宋体" w:cs="Times New Roman"/>
                <w:color w:val="auto"/>
                <w:sz w:val="21"/>
                <w:szCs w:val="21"/>
                <w:u w:val="none"/>
                <w:lang w:val="en-US" w:eastAsia="zh-CN"/>
              </w:rPr>
              <w:t>%</w:t>
            </w:r>
          </w:p>
        </w:tc>
        <w:tc>
          <w:tcPr>
            <w:tcW w:w="89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kern w:val="2"/>
                <w:sz w:val="21"/>
                <w:szCs w:val="21"/>
                <w:u w:val="none"/>
                <w:lang w:val="en-US" w:eastAsia="zh-CN" w:bidi="ar-SA"/>
              </w:rPr>
              <w:t>28.84</w:t>
            </w:r>
          </w:p>
        </w:tc>
        <w:tc>
          <w:tcPr>
            <w:tcW w:w="993"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5</w:t>
            </w:r>
            <w:r>
              <w:rPr>
                <w:rFonts w:hint="default" w:ascii="Times New Roman" w:hAnsi="Times New Roman" w:eastAsia="宋体" w:cs="Times New Roman"/>
                <w:color w:val="auto"/>
                <w:sz w:val="21"/>
                <w:szCs w:val="21"/>
                <w:u w:val="none"/>
                <w:lang w:val="en-US" w:eastAsia="zh-CN"/>
              </w:rPr>
              <w:t>%</w:t>
            </w:r>
          </w:p>
        </w:tc>
        <w:tc>
          <w:tcPr>
            <w:tcW w:w="912"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25.8</w:t>
            </w:r>
          </w:p>
        </w:tc>
        <w:tc>
          <w:tcPr>
            <w:tcW w:w="914"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15</w:t>
            </w:r>
            <w:r>
              <w:rPr>
                <w:rFonts w:hint="default" w:ascii="Times New Roman" w:hAnsi="Times New Roman" w:eastAsia="宋体" w:cs="Times New Roman"/>
                <w:color w:val="auto"/>
                <w:sz w:val="21"/>
                <w:szCs w:val="21"/>
                <w:u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单位产品</w:t>
            </w:r>
            <w:r>
              <w:rPr>
                <w:rFonts w:hint="eastAsia" w:ascii="Times New Roman" w:hAnsi="Times New Roman" w:eastAsia="宋体" w:cs="Times New Roman"/>
                <w:color w:val="auto"/>
                <w:sz w:val="21"/>
                <w:szCs w:val="21"/>
                <w:lang w:eastAsia="zh-CN"/>
              </w:rPr>
              <w:t>酸雾排放量</w:t>
            </w:r>
          </w:p>
        </w:tc>
        <w:tc>
          <w:tcPr>
            <w:tcW w:w="775"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-产品</w:t>
            </w:r>
          </w:p>
        </w:tc>
        <w:tc>
          <w:tcPr>
            <w:tcW w:w="1048"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3.24</w:t>
            </w:r>
          </w:p>
        </w:tc>
        <w:tc>
          <w:tcPr>
            <w:tcW w:w="936"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kern w:val="2"/>
                <w:sz w:val="21"/>
                <w:szCs w:val="21"/>
                <w:u w:val="none"/>
                <w:lang w:val="en-US" w:eastAsia="zh-CN" w:bidi="ar-SA"/>
              </w:rPr>
              <w:t>2.8</w:t>
            </w:r>
          </w:p>
        </w:tc>
        <w:tc>
          <w:tcPr>
            <w:tcW w:w="1002"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13</w:t>
            </w:r>
            <w:r>
              <w:rPr>
                <w:rFonts w:hint="default" w:ascii="Times New Roman" w:hAnsi="Times New Roman" w:eastAsia="宋体" w:cs="Times New Roman"/>
                <w:color w:val="auto"/>
                <w:sz w:val="21"/>
                <w:szCs w:val="21"/>
                <w:u w:val="none"/>
                <w:lang w:val="en-US" w:eastAsia="zh-CN"/>
              </w:rPr>
              <w:t>%</w:t>
            </w:r>
          </w:p>
        </w:tc>
        <w:tc>
          <w:tcPr>
            <w:tcW w:w="89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kern w:val="2"/>
                <w:sz w:val="21"/>
                <w:szCs w:val="21"/>
                <w:u w:val="none"/>
                <w:lang w:val="en-US" w:eastAsia="zh-CN" w:bidi="ar-SA"/>
              </w:rPr>
              <w:t>2.57</w:t>
            </w:r>
          </w:p>
        </w:tc>
        <w:tc>
          <w:tcPr>
            <w:tcW w:w="993"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20.6</w:t>
            </w:r>
            <w:r>
              <w:rPr>
                <w:rFonts w:hint="default" w:ascii="Times New Roman" w:hAnsi="Times New Roman" w:eastAsia="宋体" w:cs="Times New Roman"/>
                <w:color w:val="auto"/>
                <w:sz w:val="21"/>
                <w:szCs w:val="21"/>
                <w:u w:val="none"/>
                <w:lang w:val="en-US" w:eastAsia="zh-CN"/>
              </w:rPr>
              <w:t>%</w:t>
            </w:r>
          </w:p>
        </w:tc>
        <w:tc>
          <w:tcPr>
            <w:tcW w:w="912"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kern w:val="2"/>
                <w:sz w:val="21"/>
                <w:szCs w:val="21"/>
                <w:u w:val="none"/>
                <w:lang w:val="en-US" w:eastAsia="zh-CN" w:bidi="ar-SA"/>
              </w:rPr>
              <w:t>2.43</w:t>
            </w:r>
          </w:p>
        </w:tc>
        <w:tc>
          <w:tcPr>
            <w:tcW w:w="914"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25</w:t>
            </w:r>
            <w:r>
              <w:rPr>
                <w:rFonts w:hint="default" w:ascii="Times New Roman" w:hAnsi="Times New Roman" w:eastAsia="宋体" w:cs="Times New Roman"/>
                <w:color w:val="auto"/>
                <w:sz w:val="21"/>
                <w:szCs w:val="21"/>
                <w:u w:val="none"/>
                <w:lang w:val="en-US" w:eastAsia="zh-CN"/>
              </w:rPr>
              <w:t>%</w:t>
            </w:r>
          </w:p>
        </w:tc>
      </w:tr>
    </w:tbl>
    <w:p>
      <w:pPr>
        <w:spacing w:line="360" w:lineRule="auto"/>
        <w:ind w:firstLine="480" w:firstLineChars="200"/>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根据建设单位提供的最新生产资料，在采取加强用水管理，含镍废水分类处理回用等清洁生产方案后，项目单位产品清洗取水量得到了部分降低，主要是回用水量有了部分提高，根据核算，现状</w:t>
      </w:r>
      <w:r>
        <w:rPr>
          <w:rFonts w:hint="default" w:ascii="Times New Roman" w:hAnsi="Times New Roman" w:eastAsia="宋体" w:cs="Times New Roman"/>
          <w:sz w:val="24"/>
          <w:szCs w:val="24"/>
          <w:lang w:val="en-US" w:eastAsia="zh-CN"/>
        </w:rPr>
        <w:t>单位产品每次清洗取水量</w:t>
      </w:r>
      <w:r>
        <w:rPr>
          <w:rFonts w:hint="eastAsia" w:ascii="Times New Roman" w:hAnsi="Times New Roman" w:eastAsia="宋体" w:cs="Times New Roman"/>
          <w:sz w:val="24"/>
          <w:szCs w:val="24"/>
          <w:lang w:val="en-US" w:eastAsia="zh-CN"/>
        </w:rPr>
        <w:t>为28.84L/m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-产品，能够满足清洁生产目标要求。</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在采取清洁生产方案F19酸雾吸收塔改造后，酸雾的处理效率得到了提高，收集效率也有所加强，根据审核后监测结果进行分析，项目现状酸雾排放量为0.612t/a（详见P78），折合单位产品酸雾排放量2.57g/m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-产品，能够满足清洁生产目标要求。</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由上表可知，公司本轮清洁生产审核设置的清洁生产近期目标已经全部实现。</w:t>
      </w:r>
    </w:p>
    <w:p>
      <w:pPr>
        <w:pStyle w:val="5"/>
        <w:bidi w:val="0"/>
        <w:rPr>
          <w:rFonts w:hint="default" w:ascii="Times New Roman" w:hAnsi="Times New Roman" w:cs="Times New Roman"/>
          <w:lang w:val="en-US" w:eastAsia="zh-CN"/>
        </w:rPr>
      </w:pPr>
      <w:r>
        <w:rPr>
          <w:rFonts w:hint="default" w:ascii="Times New Roman" w:hAnsi="Times New Roman" w:cs="Times New Roman"/>
          <w:lang w:val="en-US" w:eastAsia="zh-CN"/>
        </w:rPr>
        <w:t>7.6 审核后企业清洁生产水平分析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cs="Times New Roman"/>
          <w:b w:val="0"/>
          <w:bCs w:val="0"/>
          <w:color w:val="auto"/>
          <w:sz w:val="24"/>
          <w:szCs w:val="24"/>
          <w:highlight w:val="none"/>
          <w:u w:val="none"/>
          <w:lang w:val="en-US" w:eastAsia="zh-CN"/>
        </w:rPr>
        <w:t>根据《电镀行业清洁生产评价指标体系》中关于评价指标企业、权重及基准值分析，本企业清洁生产实施前清洁水平为低于国内一般水平，清洁生产实施方案落实后各项指标均有了明显的改善，针对项目清洁生产水平未达到国内一般水平的指标进行了改善，现重新对项目目前清洁生产水平进行分析，评</w:t>
      </w:r>
      <w:r>
        <w:rPr>
          <w:rFonts w:hint="default" w:ascii="Times New Roman" w:hAnsi="Times New Roman" w:cs="Times New Roman"/>
          <w:b w:val="0"/>
          <w:bCs w:val="0"/>
          <w:color w:val="auto"/>
          <w:sz w:val="24"/>
          <w:szCs w:val="24"/>
          <w:u w:val="none"/>
          <w:lang w:val="en-US" w:eastAsia="zh-CN"/>
        </w:rPr>
        <w:t>分见下表</w:t>
      </w:r>
      <w:r>
        <w:rPr>
          <w:rFonts w:hint="default" w:ascii="Times New Roman" w:hAnsi="Times New Roman" w:eastAsia="宋体" w:cs="Times New Roman"/>
          <w:sz w:val="24"/>
          <w:szCs w:val="24"/>
          <w:lang w:val="en-US" w:eastAsia="zh-CN"/>
        </w:rPr>
        <w:t>。</w:t>
      </w:r>
    </w:p>
    <w:p>
      <w:pPr>
        <w:spacing w:line="360" w:lineRule="auto"/>
        <w:ind w:firstLine="480" w:firstLineChars="200"/>
        <w:jc w:val="center"/>
        <w:rPr>
          <w:rFonts w:hint="default" w:ascii="Times New Roman" w:hAnsi="Times New Roman" w:eastAsia="宋体" w:cs="Times New Roman"/>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2"/>
        <w:jc w:val="center"/>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表7-10   清洁生产审核后清洁生产水平分析评价表</w:t>
      </w:r>
    </w:p>
    <w:tbl>
      <w:tblPr>
        <w:tblStyle w:val="22"/>
        <w:tblW w:w="4786"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9"/>
        <w:gridCol w:w="612"/>
        <w:gridCol w:w="615"/>
        <w:gridCol w:w="867"/>
        <w:gridCol w:w="521"/>
        <w:gridCol w:w="759"/>
        <w:gridCol w:w="1880"/>
        <w:gridCol w:w="956"/>
        <w:gridCol w:w="1004"/>
        <w:gridCol w:w="932"/>
        <w:gridCol w:w="1517"/>
        <w:gridCol w:w="1422"/>
        <w:gridCol w:w="695"/>
        <w:gridCol w:w="664"/>
        <w:gridCol w:w="67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序号</w:t>
            </w:r>
          </w:p>
        </w:tc>
        <w:tc>
          <w:tcPr>
            <w:tcW w:w="61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一级标准</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一级指标权重</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二级指标</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单位</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二级指标权重</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Ⅰ级基准值</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Ⅱ级基准值</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Ⅲ级基准值</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eastAsia" w:ascii="Times New Roman" w:hAnsi="Times New Roman" w:eastAsia="宋体" w:cs="Times New Roman"/>
                <w:b w:val="0"/>
                <w:bCs w:val="0"/>
                <w:color w:val="auto"/>
                <w:sz w:val="21"/>
                <w:szCs w:val="21"/>
                <w:u w:val="single"/>
                <w:vertAlign w:val="baseline"/>
                <w:lang w:val="en-US" w:eastAsia="zh-CN"/>
              </w:rPr>
              <w:t>审核前项目情况</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审核后项目情况</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综合评价</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Y</w:t>
            </w:r>
            <w:r>
              <w:rPr>
                <w:rFonts w:hint="default" w:ascii="Times New Roman" w:hAnsi="Times New Roman" w:eastAsia="宋体" w:cs="Times New Roman"/>
                <w:b w:val="0"/>
                <w:bCs w:val="0"/>
                <w:color w:val="auto"/>
                <w:sz w:val="21"/>
                <w:szCs w:val="21"/>
                <w:u w:val="single"/>
                <w:vertAlign w:val="subscript"/>
                <w:lang w:val="en-US" w:eastAsia="zh-CN"/>
              </w:rPr>
              <w:t>Ⅱ</w:t>
            </w:r>
            <w:r>
              <w:rPr>
                <w:rFonts w:hint="default" w:ascii="Times New Roman" w:hAnsi="Times New Roman" w:eastAsia="宋体" w:cs="Times New Roman"/>
                <w:b w:val="0"/>
                <w:bCs w:val="0"/>
                <w:color w:val="auto"/>
                <w:sz w:val="21"/>
                <w:szCs w:val="21"/>
                <w:u w:val="single"/>
                <w:vertAlign w:val="baseline"/>
                <w:lang w:val="en-US" w:eastAsia="zh-CN"/>
              </w:rPr>
              <w:t>计算得分</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Y</w:t>
            </w:r>
            <w:r>
              <w:rPr>
                <w:rFonts w:hint="default" w:ascii="Times New Roman" w:hAnsi="Times New Roman" w:eastAsia="宋体" w:cs="Times New Roman"/>
                <w:b w:val="0"/>
                <w:bCs w:val="0"/>
                <w:color w:val="auto"/>
                <w:sz w:val="21"/>
                <w:szCs w:val="21"/>
                <w:u w:val="single"/>
                <w:vertAlign w:val="subscript"/>
                <w:lang w:val="en-US" w:eastAsia="zh-CN"/>
              </w:rPr>
              <w:t>Ⅲ</w:t>
            </w:r>
            <w:r>
              <w:rPr>
                <w:rFonts w:hint="default" w:ascii="Times New Roman" w:hAnsi="Times New Roman" w:eastAsia="宋体" w:cs="Times New Roman"/>
                <w:b w:val="0"/>
                <w:bCs w:val="0"/>
                <w:color w:val="auto"/>
                <w:sz w:val="21"/>
                <w:szCs w:val="21"/>
                <w:u w:val="single"/>
                <w:vertAlign w:val="baseline"/>
                <w:lang w:val="en-US" w:eastAsia="zh-CN"/>
              </w:rPr>
              <w:t>计算得分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w:t>
            </w:r>
          </w:p>
        </w:tc>
        <w:tc>
          <w:tcPr>
            <w:tcW w:w="612"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生产工艺及装备指标</w:t>
            </w:r>
          </w:p>
        </w:tc>
        <w:tc>
          <w:tcPr>
            <w:tcW w:w="61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0.33</w:t>
            </w: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采用清洁生产工艺</w:t>
            </w:r>
            <w:r>
              <w:rPr>
                <w:rFonts w:hint="default" w:ascii="Times New Roman" w:hAnsi="Times New Roman" w:eastAsia="宋体" w:cs="Times New Roman"/>
                <w:b w:val="0"/>
                <w:bCs w:val="0"/>
                <w:color w:val="auto"/>
                <w:sz w:val="21"/>
                <w:szCs w:val="21"/>
                <w:u w:val="single"/>
                <w:vertAlign w:val="superscript"/>
                <w:lang w:val="en-US" w:eastAsia="zh-CN"/>
              </w:rPr>
              <w:t>①</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0.15</w:t>
            </w:r>
          </w:p>
        </w:tc>
        <w:tc>
          <w:tcPr>
            <w:tcW w:w="1880"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1.民用产品采用低铬</w:t>
            </w:r>
            <w:r>
              <w:rPr>
                <w:rFonts w:hint="default" w:ascii="Times New Roman" w:hAnsi="Times New Roman" w:eastAsia="宋体" w:cs="Times New Roman"/>
                <w:b w:val="0"/>
                <w:bCs w:val="0"/>
                <w:color w:val="auto"/>
                <w:sz w:val="21"/>
                <w:szCs w:val="21"/>
                <w:u w:val="single"/>
                <w:vertAlign w:val="superscript"/>
                <w:lang w:val="en-US" w:eastAsia="zh-CN"/>
              </w:rPr>
              <w:t>⑨</w:t>
            </w:r>
            <w:r>
              <w:rPr>
                <w:rFonts w:hint="default" w:ascii="Times New Roman" w:hAnsi="Times New Roman" w:eastAsia="宋体" w:cs="Times New Roman"/>
                <w:b w:val="0"/>
                <w:bCs w:val="0"/>
                <w:color w:val="auto"/>
                <w:sz w:val="21"/>
                <w:szCs w:val="21"/>
                <w:u w:val="single"/>
                <w:vertAlign w:val="baseline"/>
                <w:lang w:val="en-US" w:eastAsia="zh-CN"/>
              </w:rPr>
              <w:t>或三价铬钝化</w:t>
            </w:r>
          </w:p>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2.民用产品采用无氰电镀</w:t>
            </w:r>
          </w:p>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3.使用金属回收工艺</w:t>
            </w:r>
          </w:p>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4.电子元件采用无铅镀层替代铅锡合金</w:t>
            </w:r>
          </w:p>
        </w:tc>
        <w:tc>
          <w:tcPr>
            <w:tcW w:w="2892" w:type="dxa"/>
            <w:gridSpan w:val="3"/>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1.民用产品采用低铬</w:t>
            </w:r>
            <w:r>
              <w:rPr>
                <w:rFonts w:hint="default" w:ascii="Times New Roman" w:hAnsi="Times New Roman" w:eastAsia="宋体" w:cs="Times New Roman"/>
                <w:b w:val="0"/>
                <w:bCs w:val="0"/>
                <w:color w:val="auto"/>
                <w:sz w:val="21"/>
                <w:szCs w:val="21"/>
                <w:u w:val="single"/>
                <w:vertAlign w:val="superscript"/>
                <w:lang w:val="en-US" w:eastAsia="zh-CN"/>
              </w:rPr>
              <w:t>⑨</w:t>
            </w:r>
            <w:r>
              <w:rPr>
                <w:rFonts w:hint="default" w:ascii="Times New Roman" w:hAnsi="Times New Roman" w:eastAsia="宋体" w:cs="Times New Roman"/>
                <w:b w:val="0"/>
                <w:bCs w:val="0"/>
                <w:color w:val="auto"/>
                <w:sz w:val="21"/>
                <w:szCs w:val="21"/>
                <w:u w:val="single"/>
                <w:vertAlign w:val="baseline"/>
                <w:lang w:val="en-US" w:eastAsia="zh-CN"/>
              </w:rPr>
              <w:t>或三价铬钝化</w:t>
            </w:r>
          </w:p>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2.民用产品采用无氰电镀</w:t>
            </w:r>
          </w:p>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3.使用金属回收工艺</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本项目钝化不含铬，设置有镍回收系统。</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本项目钝化不含铬，设置有镍回收系统。</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4.95</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4.95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清洁生产过程控制</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0.15</w:t>
            </w:r>
          </w:p>
        </w:tc>
        <w:tc>
          <w:tcPr>
            <w:tcW w:w="1880"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1.镀镍、锌液连续过滤</w:t>
            </w:r>
          </w:p>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2.及时补加和调整溶液</w:t>
            </w:r>
          </w:p>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3.定期去除溶液中的杂质</w:t>
            </w:r>
          </w:p>
        </w:tc>
        <w:tc>
          <w:tcPr>
            <w:tcW w:w="2892" w:type="dxa"/>
            <w:gridSpan w:val="3"/>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1.镀镍溶液连续过滤</w:t>
            </w:r>
          </w:p>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2.及时补加和调整溶液</w:t>
            </w:r>
          </w:p>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3.定期去除溶液中的杂质</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各电镀槽液采用低电流电解去除杂质；根据槽液使用情况，并及时补充和调整溶液</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各电镀槽液采用低电流电解去除杂质；根据槽液使用情况，并及时补充和调整溶液；槽内镀液定期过滤去除杂质</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Ⅱ级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4.95</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4.95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电镀生产线要求</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0.4</w:t>
            </w:r>
          </w:p>
        </w:tc>
        <w:tc>
          <w:tcPr>
            <w:tcW w:w="1880"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电镀生产线采用节能措施</w:t>
            </w:r>
            <w:r>
              <w:rPr>
                <w:rFonts w:hint="default" w:ascii="Times New Roman" w:hAnsi="Times New Roman" w:eastAsia="宋体" w:cs="Times New Roman"/>
                <w:b w:val="0"/>
                <w:bCs w:val="0"/>
                <w:color w:val="auto"/>
                <w:sz w:val="21"/>
                <w:szCs w:val="21"/>
                <w:u w:val="single"/>
                <w:vertAlign w:val="superscript"/>
                <w:lang w:val="en-US" w:eastAsia="zh-CN"/>
              </w:rPr>
              <w:t>②</w:t>
            </w:r>
            <w:r>
              <w:rPr>
                <w:rFonts w:hint="default" w:ascii="Times New Roman" w:hAnsi="Times New Roman" w:eastAsia="宋体" w:cs="Times New Roman"/>
                <w:b w:val="0"/>
                <w:bCs w:val="0"/>
                <w:color w:val="auto"/>
                <w:sz w:val="21"/>
                <w:szCs w:val="21"/>
                <w:u w:val="single"/>
                <w:vertAlign w:val="baseline"/>
                <w:lang w:val="en-US" w:eastAsia="zh-CN"/>
              </w:rPr>
              <w:t>，70%生产线实现自动化或半自动化</w:t>
            </w:r>
          </w:p>
        </w:tc>
        <w:tc>
          <w:tcPr>
            <w:tcW w:w="956"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电镀生产线采用节能措施</w:t>
            </w:r>
            <w:r>
              <w:rPr>
                <w:rFonts w:hint="default" w:ascii="Times New Roman" w:hAnsi="Times New Roman" w:eastAsia="宋体" w:cs="Times New Roman"/>
                <w:b w:val="0"/>
                <w:bCs w:val="0"/>
                <w:color w:val="auto"/>
                <w:sz w:val="21"/>
                <w:szCs w:val="21"/>
                <w:u w:val="single"/>
                <w:vertAlign w:val="superscript"/>
                <w:lang w:val="en-US" w:eastAsia="zh-CN"/>
              </w:rPr>
              <w:t>②</w:t>
            </w:r>
            <w:r>
              <w:rPr>
                <w:rFonts w:hint="default" w:ascii="Times New Roman" w:hAnsi="Times New Roman" w:eastAsia="宋体" w:cs="Times New Roman"/>
                <w:b w:val="0"/>
                <w:bCs w:val="0"/>
                <w:color w:val="auto"/>
                <w:sz w:val="21"/>
                <w:szCs w:val="21"/>
                <w:u w:val="single"/>
                <w:vertAlign w:val="baseline"/>
                <w:lang w:val="en-US" w:eastAsia="zh-CN"/>
              </w:rPr>
              <w:t>，50%生产线实现自动化或半自动化</w:t>
            </w:r>
          </w:p>
        </w:tc>
        <w:tc>
          <w:tcPr>
            <w:tcW w:w="1936" w:type="dxa"/>
            <w:gridSpan w:val="2"/>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电镀生产线采用节能措施</w:t>
            </w:r>
            <w:r>
              <w:rPr>
                <w:rFonts w:hint="default" w:ascii="Times New Roman" w:hAnsi="Times New Roman" w:eastAsia="宋体" w:cs="Times New Roman"/>
                <w:b w:val="0"/>
                <w:bCs w:val="0"/>
                <w:color w:val="auto"/>
                <w:sz w:val="21"/>
                <w:szCs w:val="21"/>
                <w:u w:val="single"/>
                <w:vertAlign w:val="superscript"/>
                <w:lang w:val="en-US" w:eastAsia="zh-CN"/>
              </w:rPr>
              <w:t>②</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电镀生产线使用高频开关电源，其直流母线压降不超过 10%并且极杠清洁、导电良好，优选低耗能设备，生产用能耗全部采用电为能源；目前电镀线100%为全自动生产线。</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电镀生产线使用高频开关电源，其直流母线压降不超过 10%并且极杠清洁、导电良好，优选低耗能设备，生产用能耗全部采用电为能源；电镀线为全自动化生产线</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13.2</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4</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有节水设施</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0.3</w:t>
            </w:r>
          </w:p>
        </w:tc>
        <w:tc>
          <w:tcPr>
            <w:tcW w:w="2836" w:type="dxa"/>
            <w:gridSpan w:val="2"/>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根据工艺选择逆流漂洗、淋洗、喷洗，电镀无单槽清洗等节水方式，有用水计量装置，有在线水回收设施</w:t>
            </w:r>
          </w:p>
        </w:tc>
        <w:tc>
          <w:tcPr>
            <w:tcW w:w="1936" w:type="dxa"/>
            <w:gridSpan w:val="2"/>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根据工艺选择逆流漂洗、淋洗、喷洗，电镀无单槽清洗等节水方式，有用水计量装置</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项目现有清洗方式为</w:t>
            </w:r>
            <w:r>
              <w:rPr>
                <w:rFonts w:hint="eastAsia" w:ascii="Times New Roman" w:hAnsi="Times New Roman" w:eastAsia="宋体" w:cs="Times New Roman"/>
                <w:b w:val="0"/>
                <w:bCs w:val="0"/>
                <w:color w:val="auto"/>
                <w:sz w:val="21"/>
                <w:szCs w:val="21"/>
                <w:u w:val="single"/>
                <w:vertAlign w:val="baseline"/>
                <w:lang w:val="en-US" w:eastAsia="zh-CN"/>
              </w:rPr>
              <w:t>逆流漂洗</w:t>
            </w:r>
            <w:r>
              <w:rPr>
                <w:rFonts w:hint="default" w:ascii="Times New Roman" w:hAnsi="Times New Roman" w:eastAsia="宋体" w:cs="Times New Roman"/>
                <w:b w:val="0"/>
                <w:bCs w:val="0"/>
                <w:color w:val="auto"/>
                <w:sz w:val="21"/>
                <w:szCs w:val="21"/>
                <w:u w:val="single"/>
                <w:vertAlign w:val="baseline"/>
                <w:lang w:val="en-US" w:eastAsia="zh-CN"/>
              </w:rPr>
              <w:t>，电镀无单槽清洗方式，用水计量装置未能满足精确计量要求，无在线水回收</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根据工艺选择逆流漂洗进行节水，电镀无单槽清洗方式，有用水计量装置</w:t>
            </w:r>
            <w:r>
              <w:rPr>
                <w:rFonts w:hint="eastAsia" w:ascii="Times New Roman" w:hAnsi="Times New Roman" w:eastAsia="宋体" w:cs="Times New Roman"/>
                <w:b w:val="0"/>
                <w:bCs w:val="0"/>
                <w:color w:val="auto"/>
                <w:sz w:val="21"/>
                <w:szCs w:val="21"/>
                <w:u w:val="single"/>
                <w:vertAlign w:val="baseline"/>
                <w:lang w:val="en-US" w:eastAsia="zh-CN"/>
              </w:rPr>
              <w:t>，无在线水回收装置</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Ⅲ级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eastAsia" w:ascii="Times New Roman" w:hAnsi="Times New Roman" w:eastAsia="宋体" w:cs="Times New Roman"/>
                <w:b w:val="0"/>
                <w:bCs w:val="0"/>
                <w:color w:val="auto"/>
                <w:sz w:val="21"/>
                <w:szCs w:val="21"/>
                <w:u w:val="single"/>
                <w:vertAlign w:val="baseline"/>
                <w:lang w:val="en-US" w:eastAsia="zh-CN"/>
              </w:rPr>
              <w:t>0</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5</w:t>
            </w:r>
          </w:p>
        </w:tc>
        <w:tc>
          <w:tcPr>
            <w:tcW w:w="612"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资源消耗指标</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*单位产品每次清洗取水量</w:t>
            </w:r>
            <w:r>
              <w:rPr>
                <w:rFonts w:hint="default" w:ascii="Times New Roman" w:hAnsi="Times New Roman" w:eastAsia="宋体" w:cs="Times New Roman"/>
                <w:b w:val="0"/>
                <w:bCs w:val="0"/>
                <w:color w:val="auto"/>
                <w:sz w:val="21"/>
                <w:szCs w:val="21"/>
                <w:u w:val="single"/>
                <w:vertAlign w:val="superscript"/>
                <w:lang w:val="en-US" w:eastAsia="zh-CN"/>
              </w:rPr>
              <w:t>③</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u w:val="single"/>
                <w:vertAlign w:val="baseline"/>
                <w:lang w:val="en-US" w:eastAsia="zh-CN"/>
              </w:rPr>
            </w:pPr>
            <w:r>
              <w:rPr>
                <w:rFonts w:hint="default" w:ascii="Times New Roman" w:hAnsi="Times New Roman" w:eastAsia="宋体" w:cs="Times New Roman"/>
                <w:b w:val="0"/>
                <w:bCs w:val="0"/>
                <w:color w:val="auto"/>
                <w:sz w:val="21"/>
                <w:szCs w:val="21"/>
                <w:highlight w:val="none"/>
                <w:u w:val="single"/>
                <w:vertAlign w:val="baseline"/>
                <w:lang w:val="en-US" w:eastAsia="zh-CN"/>
              </w:rPr>
              <w:t>L/m</w:t>
            </w:r>
            <w:r>
              <w:rPr>
                <w:rFonts w:hint="default" w:ascii="Times New Roman" w:hAnsi="Times New Roman" w:eastAsia="宋体" w:cs="Times New Roman"/>
                <w:b w:val="0"/>
                <w:bCs w:val="0"/>
                <w:color w:val="auto"/>
                <w:sz w:val="21"/>
                <w:szCs w:val="21"/>
                <w:highlight w:val="none"/>
                <w:u w:val="single"/>
                <w:vertAlign w:val="superscript"/>
                <w:lang w:val="en-US" w:eastAsia="zh-CN"/>
              </w:rPr>
              <w:t>2</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u w:val="single"/>
                <w:vertAlign w:val="baseline"/>
                <w:lang w:val="en-US" w:eastAsia="zh-CN"/>
              </w:rPr>
            </w:pPr>
            <w:r>
              <w:rPr>
                <w:rFonts w:hint="default" w:ascii="Times New Roman" w:hAnsi="Times New Roman" w:eastAsia="宋体" w:cs="Times New Roman"/>
                <w:b w:val="0"/>
                <w:bCs w:val="0"/>
                <w:color w:val="auto"/>
                <w:sz w:val="21"/>
                <w:szCs w:val="21"/>
                <w:highlight w:val="none"/>
                <w:u w:val="single"/>
                <w:vertAlign w:val="baseline"/>
                <w:lang w:val="en-US" w:eastAsia="zh-CN"/>
              </w:rPr>
              <w:t>1</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u w:val="single"/>
                <w:vertAlign w:val="baseline"/>
                <w:lang w:val="en-US" w:eastAsia="zh-CN"/>
              </w:rPr>
            </w:pPr>
            <w:r>
              <w:rPr>
                <w:rFonts w:hint="default" w:ascii="Times New Roman" w:hAnsi="Times New Roman" w:eastAsia="宋体" w:cs="Times New Roman"/>
                <w:b w:val="0"/>
                <w:bCs w:val="0"/>
                <w:color w:val="auto"/>
                <w:sz w:val="21"/>
                <w:szCs w:val="21"/>
                <w:highlight w:val="none"/>
                <w:u w:val="single"/>
                <w:vertAlign w:val="baseline"/>
                <w:lang w:val="en-US" w:eastAsia="zh-CN"/>
              </w:rPr>
              <w:t>≤8</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u w:val="single"/>
                <w:vertAlign w:val="baseline"/>
                <w:lang w:val="en-US" w:eastAsia="zh-CN"/>
              </w:rPr>
            </w:pPr>
            <w:r>
              <w:rPr>
                <w:rFonts w:hint="default" w:ascii="Times New Roman" w:hAnsi="Times New Roman" w:eastAsia="宋体" w:cs="Times New Roman"/>
                <w:b w:val="0"/>
                <w:bCs w:val="0"/>
                <w:color w:val="auto"/>
                <w:sz w:val="21"/>
                <w:szCs w:val="21"/>
                <w:highlight w:val="none"/>
                <w:u w:val="single"/>
                <w:vertAlign w:val="baseline"/>
                <w:lang w:val="en-US" w:eastAsia="zh-CN"/>
              </w:rPr>
              <w:t>≤24</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u w:val="single"/>
                <w:vertAlign w:val="baseline"/>
                <w:lang w:val="en-US" w:eastAsia="zh-CN"/>
              </w:rPr>
            </w:pPr>
            <w:r>
              <w:rPr>
                <w:rFonts w:hint="default" w:ascii="Times New Roman" w:hAnsi="Times New Roman" w:eastAsia="宋体" w:cs="Times New Roman"/>
                <w:b w:val="0"/>
                <w:bCs w:val="0"/>
                <w:color w:val="auto"/>
                <w:sz w:val="21"/>
                <w:szCs w:val="21"/>
                <w:highlight w:val="none"/>
                <w:u w:val="single"/>
                <w:vertAlign w:val="baseline"/>
                <w:lang w:val="en-US" w:eastAsia="zh-CN"/>
              </w:rPr>
              <w:t>≤40</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yellow"/>
                <w:u w:val="single"/>
                <w:vertAlign w:val="baseline"/>
                <w:lang w:val="en-US" w:eastAsia="zh-CN" w:bidi="ar-SA"/>
              </w:rPr>
            </w:pPr>
            <w:r>
              <w:rPr>
                <w:rFonts w:hint="eastAsia" w:ascii="Times New Roman" w:hAnsi="Times New Roman" w:eastAsia="宋体" w:cs="Times New Roman"/>
                <w:b w:val="0"/>
                <w:bCs w:val="0"/>
                <w:color w:val="auto"/>
                <w:sz w:val="21"/>
                <w:szCs w:val="21"/>
                <w:highlight w:val="none"/>
                <w:u w:val="single"/>
                <w:vertAlign w:val="baseline"/>
                <w:lang w:val="en-US" w:eastAsia="zh-CN"/>
              </w:rPr>
              <w:t>30.36</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yellow"/>
                <w:u w:val="single"/>
                <w:vertAlign w:val="baseline"/>
                <w:lang w:val="en-US" w:eastAsia="zh-CN"/>
              </w:rPr>
            </w:pPr>
            <w:r>
              <w:rPr>
                <w:rFonts w:hint="eastAsia" w:ascii="Times New Roman" w:hAnsi="Times New Roman" w:eastAsia="宋体" w:cs="Times New Roman"/>
                <w:b w:val="0"/>
                <w:bCs w:val="0"/>
                <w:color w:val="auto"/>
                <w:sz w:val="21"/>
                <w:szCs w:val="21"/>
                <w:highlight w:val="none"/>
                <w:u w:val="single"/>
                <w:vertAlign w:val="baseline"/>
                <w:lang w:val="en-US" w:eastAsia="zh-CN"/>
              </w:rPr>
              <w:t>30.36</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Ⅲ级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eastAsia" w:ascii="Times New Roman" w:hAnsi="Times New Roman" w:eastAsia="宋体" w:cs="Times New Roman"/>
                <w:b w:val="0"/>
                <w:bCs w:val="0"/>
                <w:color w:val="auto"/>
                <w:sz w:val="21"/>
                <w:szCs w:val="21"/>
                <w:u w:val="single"/>
                <w:vertAlign w:val="baseline"/>
                <w:lang w:val="en-US" w:eastAsia="zh-CN"/>
              </w:rPr>
              <w:t>0</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6</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0.18</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锌利用率</w:t>
            </w:r>
            <w:r>
              <w:rPr>
                <w:rFonts w:hint="default" w:ascii="Times New Roman" w:hAnsi="Times New Roman" w:eastAsia="宋体" w:cs="Times New Roman"/>
                <w:b w:val="0"/>
                <w:bCs w:val="0"/>
                <w:color w:val="auto"/>
                <w:sz w:val="21"/>
                <w:szCs w:val="21"/>
                <w:u w:val="single"/>
                <w:vertAlign w:val="superscript"/>
                <w:lang w:val="en-US" w:eastAsia="zh-CN"/>
              </w:rPr>
              <w:t>④</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59"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color w:val="000000"/>
                <w:kern w:val="0"/>
                <w:sz w:val="21"/>
                <w:szCs w:val="21"/>
                <w:u w:val="single"/>
                <w:lang w:val="en-US" w:eastAsia="zh-CN" w:bidi="ar"/>
              </w:rPr>
              <w:t>0.8/n</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≥82</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≥80</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≥75</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highlight w:val="none"/>
                <w:u w:val="single"/>
                <w:vertAlign w:val="baseline"/>
                <w:lang w:val="en-US" w:eastAsia="zh-CN"/>
              </w:rPr>
              <w:t>/</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7</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铜利用率</w:t>
            </w:r>
            <w:r>
              <w:rPr>
                <w:rFonts w:hint="default" w:ascii="Times New Roman" w:hAnsi="Times New Roman" w:eastAsia="宋体" w:cs="Times New Roman"/>
                <w:b w:val="0"/>
                <w:bCs w:val="0"/>
                <w:color w:val="auto"/>
                <w:sz w:val="21"/>
                <w:szCs w:val="21"/>
                <w:u w:val="single"/>
                <w:vertAlign w:val="superscript"/>
                <w:lang w:val="en-US" w:eastAsia="zh-CN"/>
              </w:rPr>
              <w:t>④</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59"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color w:val="000000"/>
                <w:kern w:val="0"/>
                <w:sz w:val="21"/>
                <w:szCs w:val="21"/>
                <w:u w:val="single"/>
                <w:lang w:val="en-US" w:eastAsia="zh-CN" w:bidi="ar"/>
              </w:rPr>
              <w:t>0.8/n</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≥90</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≥80</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≥75</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highlight w:val="none"/>
                <w:u w:val="single"/>
                <w:vertAlign w:val="baseline"/>
                <w:lang w:val="en-US" w:eastAsia="zh-CN"/>
              </w:rPr>
              <w:t>/</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8</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镍利用率</w:t>
            </w:r>
            <w:r>
              <w:rPr>
                <w:rFonts w:hint="default" w:ascii="Times New Roman" w:hAnsi="Times New Roman" w:eastAsia="宋体" w:cs="Times New Roman"/>
                <w:b w:val="0"/>
                <w:bCs w:val="0"/>
                <w:color w:val="auto"/>
                <w:sz w:val="21"/>
                <w:szCs w:val="21"/>
                <w:u w:val="single"/>
                <w:vertAlign w:val="superscript"/>
                <w:lang w:val="en-US" w:eastAsia="zh-CN"/>
              </w:rPr>
              <w:t>④</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59"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color w:val="000000"/>
                <w:kern w:val="0"/>
                <w:sz w:val="21"/>
                <w:szCs w:val="21"/>
                <w:u w:val="single"/>
                <w:lang w:val="en-US" w:eastAsia="zh-CN" w:bidi="ar"/>
              </w:rPr>
              <w:t>0.8/n</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≥95</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≥85</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u w:val="single"/>
                <w:vertAlign w:val="baseline"/>
                <w:lang w:val="en-US" w:eastAsia="zh-CN"/>
              </w:rPr>
            </w:pPr>
            <w:r>
              <w:rPr>
                <w:rFonts w:hint="default" w:ascii="Times New Roman" w:hAnsi="Times New Roman" w:eastAsia="宋体" w:cs="Times New Roman"/>
                <w:b w:val="0"/>
                <w:bCs w:val="0"/>
                <w:color w:val="auto"/>
                <w:sz w:val="21"/>
                <w:szCs w:val="21"/>
                <w:highlight w:val="none"/>
                <w:u w:val="single"/>
                <w:vertAlign w:val="baseline"/>
                <w:lang w:val="en-US" w:eastAsia="zh-CN"/>
              </w:rPr>
              <w:t>≥80</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eastAsia" w:ascii="Times New Roman" w:hAnsi="Times New Roman" w:eastAsia="宋体" w:cs="Times New Roman"/>
                <w:b w:val="0"/>
                <w:bCs w:val="0"/>
                <w:color w:val="auto"/>
                <w:sz w:val="21"/>
                <w:szCs w:val="21"/>
                <w:highlight w:val="none"/>
                <w:u w:val="single"/>
                <w:vertAlign w:val="baseline"/>
                <w:lang w:val="en-US" w:eastAsia="zh-CN"/>
              </w:rPr>
              <w:t>94.8</w:t>
            </w:r>
            <w:r>
              <w:rPr>
                <w:rFonts w:hint="default" w:ascii="Times New Roman" w:hAnsi="Times New Roman" w:eastAsia="宋体" w:cs="Times New Roman"/>
                <w:b w:val="0"/>
                <w:bCs w:val="0"/>
                <w:color w:val="auto"/>
                <w:sz w:val="21"/>
                <w:szCs w:val="21"/>
                <w:highlight w:val="none"/>
                <w:u w:val="single"/>
                <w:vertAlign w:val="baseline"/>
                <w:lang w:val="en-US" w:eastAsia="zh-CN"/>
              </w:rPr>
              <w:t>%</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u w:val="single"/>
                <w:vertAlign w:val="baseline"/>
                <w:lang w:val="en-US" w:eastAsia="zh-CN"/>
              </w:rPr>
            </w:pPr>
            <w:r>
              <w:rPr>
                <w:rFonts w:hint="eastAsia" w:ascii="Times New Roman" w:hAnsi="Times New Roman" w:eastAsia="宋体" w:cs="Times New Roman"/>
                <w:b w:val="0"/>
                <w:bCs w:val="0"/>
                <w:color w:val="auto"/>
                <w:sz w:val="21"/>
                <w:szCs w:val="21"/>
                <w:highlight w:val="none"/>
                <w:u w:val="single"/>
                <w:vertAlign w:val="baseline"/>
                <w:lang w:val="en-US" w:eastAsia="zh-CN"/>
              </w:rPr>
              <w:t>94.8</w:t>
            </w:r>
            <w:r>
              <w:rPr>
                <w:rFonts w:hint="default" w:ascii="Times New Roman" w:hAnsi="Times New Roman" w:eastAsia="宋体" w:cs="Times New Roman"/>
                <w:b w:val="0"/>
                <w:bCs w:val="0"/>
                <w:color w:val="auto"/>
                <w:sz w:val="21"/>
                <w:szCs w:val="21"/>
                <w:highlight w:val="none"/>
                <w:u w:val="single"/>
                <w:vertAlign w:val="baseline"/>
                <w:lang w:val="en-US" w:eastAsia="zh-CN"/>
              </w:rPr>
              <w:t>%</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u w:val="single"/>
                <w:vertAlign w:val="baseline"/>
                <w:lang w:val="en-US" w:eastAsia="zh-CN"/>
              </w:rPr>
            </w:pPr>
            <w:r>
              <w:rPr>
                <w:rFonts w:hint="default" w:ascii="Times New Roman" w:hAnsi="Times New Roman" w:eastAsia="宋体" w:cs="Times New Roman"/>
                <w:b w:val="0"/>
                <w:bCs w:val="0"/>
                <w:color w:val="auto"/>
                <w:sz w:val="21"/>
                <w:szCs w:val="21"/>
                <w:highlight w:val="none"/>
                <w:u w:val="single"/>
                <w:vertAlign w:val="baseline"/>
                <w:lang w:val="en-US" w:eastAsia="zh-CN"/>
              </w:rPr>
              <w:t>Ⅱ级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14.4</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装饰铬利用率</w:t>
            </w:r>
            <w:r>
              <w:rPr>
                <w:rFonts w:hint="default" w:ascii="Times New Roman" w:hAnsi="Times New Roman" w:eastAsia="宋体" w:cs="Times New Roman"/>
                <w:b w:val="0"/>
                <w:bCs w:val="0"/>
                <w:color w:val="auto"/>
                <w:sz w:val="21"/>
                <w:szCs w:val="21"/>
                <w:u w:val="single"/>
                <w:vertAlign w:val="superscript"/>
                <w:lang w:val="en-US" w:eastAsia="zh-CN"/>
              </w:rPr>
              <w:t>④</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59"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color w:val="000000"/>
                <w:kern w:val="0"/>
                <w:sz w:val="21"/>
                <w:szCs w:val="21"/>
                <w:u w:val="single"/>
                <w:lang w:val="en-US" w:eastAsia="zh-CN" w:bidi="ar"/>
              </w:rPr>
              <w:t>0.8/n</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≥60</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≥24</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≥20</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10</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硬铬利用率</w:t>
            </w:r>
            <w:r>
              <w:rPr>
                <w:rFonts w:hint="default" w:ascii="Times New Roman" w:hAnsi="Times New Roman" w:eastAsia="宋体" w:cs="Times New Roman"/>
                <w:b w:val="0"/>
                <w:bCs w:val="0"/>
                <w:color w:val="auto"/>
                <w:sz w:val="21"/>
                <w:szCs w:val="21"/>
                <w:u w:val="single"/>
                <w:vertAlign w:val="superscript"/>
                <w:lang w:val="en-US" w:eastAsia="zh-CN"/>
              </w:rPr>
              <w:t>④</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59"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color w:val="000000"/>
                <w:kern w:val="0"/>
                <w:sz w:val="21"/>
                <w:szCs w:val="21"/>
                <w:u w:val="single"/>
                <w:lang w:val="en-US" w:eastAsia="zh-CN" w:bidi="ar"/>
              </w:rPr>
              <w:t>0.8/n</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≥90</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≥80</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≥70</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11</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金利用率</w:t>
            </w:r>
            <w:r>
              <w:rPr>
                <w:rFonts w:hint="default" w:ascii="Times New Roman" w:hAnsi="Times New Roman" w:eastAsia="宋体" w:cs="Times New Roman"/>
                <w:b w:val="0"/>
                <w:bCs w:val="0"/>
                <w:color w:val="auto"/>
                <w:sz w:val="21"/>
                <w:szCs w:val="21"/>
                <w:u w:val="single"/>
                <w:vertAlign w:val="superscript"/>
                <w:lang w:val="en-US" w:eastAsia="zh-CN"/>
              </w:rPr>
              <w:t>④</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59"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color w:val="000000"/>
                <w:kern w:val="0"/>
                <w:sz w:val="21"/>
                <w:szCs w:val="21"/>
                <w:u w:val="single"/>
                <w:lang w:val="en-US" w:eastAsia="zh-CN" w:bidi="ar"/>
              </w:rPr>
              <w:t>0.8/n</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≥98</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≥95</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≥90</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12</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银利用率</w:t>
            </w:r>
            <w:r>
              <w:rPr>
                <w:rFonts w:hint="default" w:ascii="Times New Roman" w:hAnsi="Times New Roman" w:eastAsia="宋体" w:cs="Times New Roman"/>
                <w:b w:val="0"/>
                <w:bCs w:val="0"/>
                <w:color w:val="auto"/>
                <w:sz w:val="21"/>
                <w:szCs w:val="21"/>
                <w:u w:val="single"/>
                <w:vertAlign w:val="superscript"/>
                <w:lang w:val="en-US" w:eastAsia="zh-CN"/>
              </w:rPr>
              <w:t>④</w:t>
            </w:r>
            <w:r>
              <w:rPr>
                <w:rFonts w:hint="default" w:ascii="Times New Roman" w:hAnsi="Times New Roman" w:eastAsia="宋体" w:cs="Times New Roman"/>
                <w:b w:val="0"/>
                <w:bCs w:val="0"/>
                <w:color w:val="auto"/>
                <w:sz w:val="21"/>
                <w:szCs w:val="21"/>
                <w:u w:val="single"/>
                <w:vertAlign w:val="baseline"/>
                <w:lang w:val="en-US" w:eastAsia="zh-CN"/>
              </w:rPr>
              <w:t>（含氰镀银）</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59"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color w:val="000000"/>
                <w:kern w:val="0"/>
                <w:sz w:val="21"/>
                <w:szCs w:val="21"/>
                <w:u w:val="single"/>
                <w:lang w:val="en-US" w:eastAsia="zh-CN" w:bidi="ar"/>
              </w:rPr>
              <w:t>0.8/n</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≥98</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≥95</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≥90</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13</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电镀用水重复利用率</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59"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color w:val="000000"/>
                <w:kern w:val="0"/>
                <w:sz w:val="21"/>
                <w:szCs w:val="21"/>
                <w:u w:val="single"/>
                <w:lang w:val="en-US" w:eastAsia="zh-CN" w:bidi="ar"/>
              </w:rPr>
              <w:t>0.2</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≥60</w:t>
            </w:r>
          </w:p>
        </w:tc>
        <w:tc>
          <w:tcPr>
            <w:tcW w:w="9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≥40</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≥30</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100%</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100%</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3.6</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14</w:t>
            </w:r>
          </w:p>
        </w:tc>
        <w:tc>
          <w:tcPr>
            <w:tcW w:w="612"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污染物产生指标</w:t>
            </w:r>
          </w:p>
        </w:tc>
        <w:tc>
          <w:tcPr>
            <w:tcW w:w="61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0.16</w:t>
            </w:r>
          </w:p>
        </w:tc>
        <w:tc>
          <w:tcPr>
            <w:tcW w:w="86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*电镀废水处理</w:t>
            </w:r>
          </w:p>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率</w:t>
            </w:r>
            <w:r>
              <w:rPr>
                <w:rFonts w:hint="default" w:ascii="Times New Roman" w:hAnsi="Times New Roman" w:eastAsia="宋体" w:cs="Times New Roman"/>
                <w:b w:val="0"/>
                <w:bCs w:val="0"/>
                <w:color w:val="auto"/>
                <w:sz w:val="21"/>
                <w:szCs w:val="21"/>
                <w:u w:val="single"/>
                <w:vertAlign w:val="superscript"/>
                <w:lang w:val="en-US" w:eastAsia="zh-CN"/>
              </w:rPr>
              <w:t>⑩</w:t>
            </w:r>
          </w:p>
        </w:tc>
        <w:tc>
          <w:tcPr>
            <w:tcW w:w="5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0.5</w:t>
            </w:r>
          </w:p>
        </w:tc>
        <w:tc>
          <w:tcPr>
            <w:tcW w:w="4772"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100</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100</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100</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8</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44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15</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*有减少重金属污染物污染防治措施</w:t>
            </w:r>
            <w:r>
              <w:rPr>
                <w:rFonts w:hint="default" w:ascii="Times New Roman" w:hAnsi="Times New Roman" w:eastAsia="宋体" w:cs="Times New Roman"/>
                <w:b w:val="0"/>
                <w:bCs w:val="0"/>
                <w:color w:val="auto"/>
                <w:sz w:val="21"/>
                <w:szCs w:val="21"/>
                <w:u w:val="single"/>
                <w:vertAlign w:val="superscript"/>
                <w:lang w:val="en-US" w:eastAsia="zh-CN"/>
              </w:rPr>
              <w:t>⑤</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0.2</w:t>
            </w:r>
          </w:p>
        </w:tc>
        <w:tc>
          <w:tcPr>
            <w:tcW w:w="28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使用四项以上（含四项）减少镀液带出措施</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至少使用三项减少镀液带出措施</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合理延长滚筒空中停滞时间；设有贵金属回收槽；废水处理设施处理后产生的污泥将交由有资质的单位进行回收处置；安装设备减震，减少滚筒转移过程振动甩出镀液。</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合理延长滚筒空中停滞时间；设有贵金属回收槽；废水处理设施处理后产生的污泥将交由有资质的单位进行回收处置；安装设备减震，减少滚筒转移过程振动甩出镀液。</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3.2</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*危险废物污染防治措施</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0.3</w:t>
            </w:r>
          </w:p>
        </w:tc>
        <w:tc>
          <w:tcPr>
            <w:tcW w:w="4772"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电镀污泥、废液在企业内回收或送到有资质单位回收重金属，交外单位转移须提供危险废物转移联单</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电镀污泥委托有资质单位回收重金属，并由其提供危险废物转移联单。</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电镀污泥委托有资质单位回收重金属，并由其提供危险废物转移联单。</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4.8</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4.8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61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产品特征指标</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0.07</w:t>
            </w: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产品合格率保障措施</w:t>
            </w:r>
            <w:r>
              <w:rPr>
                <w:rFonts w:hint="default" w:ascii="Times New Roman" w:hAnsi="Times New Roman" w:eastAsia="宋体" w:cs="Times New Roman"/>
                <w:b w:val="0"/>
                <w:bCs w:val="0"/>
                <w:color w:val="auto"/>
                <w:sz w:val="21"/>
                <w:szCs w:val="21"/>
                <w:u w:val="single"/>
                <w:vertAlign w:val="superscript"/>
                <w:lang w:val="en-US" w:eastAsia="zh-CN"/>
              </w:rPr>
              <w:t>⑥</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w:t>
            </w:r>
          </w:p>
        </w:tc>
        <w:tc>
          <w:tcPr>
            <w:tcW w:w="18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有镀液成分和杂质定量检</w:t>
            </w:r>
          </w:p>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测措施、有记录；产品质量检测设备和产品检测记录</w:t>
            </w:r>
          </w:p>
        </w:tc>
        <w:tc>
          <w:tcPr>
            <w:tcW w:w="2892"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有镀液成分定量检测措施、有记录；产品质量检测设备和产品检测记录</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有镀液成分定量检测措施、有记录；产品质量检测设备和产品检测记录</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有镀液成分和杂质定量检测措施、有记录；产品质量检测设备和产品检测记录</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7</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17</w:t>
            </w:r>
          </w:p>
        </w:tc>
        <w:tc>
          <w:tcPr>
            <w:tcW w:w="612"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清洁生产管理指标</w:t>
            </w:r>
          </w:p>
        </w:tc>
        <w:tc>
          <w:tcPr>
            <w:tcW w:w="61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0.16</w:t>
            </w: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*环境法律法规标准执行情况</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0.2</w:t>
            </w:r>
          </w:p>
        </w:tc>
        <w:tc>
          <w:tcPr>
            <w:tcW w:w="4772"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废水、废气、噪声等污染物排放符合国家和地方排放标准；主要污染物排放应达到国家和地方污染物排放总量控制指标</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本项目废水、废气、噪声等符合国家和地方排放标准，满足总量控制要求。</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本项目废水、废气、噪声等符合国家和地方排放标准，满足总量控制要求。</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3.2</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18</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*产业政策执行情况</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0.2</w:t>
            </w:r>
          </w:p>
        </w:tc>
        <w:tc>
          <w:tcPr>
            <w:tcW w:w="4772"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生产规模和工艺符合国家和地方相关产业政策</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本项目建设符合《产业结构调整指导目录》（2019 年本）</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本项目建设符合《产业结构调整指导目录》（2019 年本）</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3.2</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19</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环境管理体系制度及清洁生产审核情况</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w:t>
            </w:r>
          </w:p>
        </w:tc>
        <w:tc>
          <w:tcPr>
            <w:tcW w:w="28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按照GB/T24001建立并运行环境管理体系，环境管理程序文件及作业文件齐备；按照国家和地方要求，开展清洁生产审核</w:t>
            </w:r>
          </w:p>
        </w:tc>
        <w:tc>
          <w:tcPr>
            <w:tcW w:w="19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拥有健全的环境管理体系和完备的管理文件；按照国家和地方要求，开展清洁生产审核</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拥有健全的环境管理体系和完备的管理文件；按照国家和地方要求，开展清洁生产审核</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拥有健全的环境管理体系和完备的管理文件；按照国家和地方要求，开展清洁生产审核</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Ⅱ级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20</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*危险化学品管理</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w:t>
            </w:r>
          </w:p>
        </w:tc>
        <w:tc>
          <w:tcPr>
            <w:tcW w:w="4772"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符合《危险化学品安全管理条例》相关要求</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严格按照《危险化学品安全管理条例》相关要求执行</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严格按照《危险化学品安全管理条例》相关要求执行</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21</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废水、废气处理设施运行管理</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w:t>
            </w:r>
          </w:p>
        </w:tc>
        <w:tc>
          <w:tcPr>
            <w:tcW w:w="2836"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非电镀车间废水不得混入</w:t>
            </w:r>
          </w:p>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电镀废水处理系统；建有废水处理设施运行中控系统，包括自动加药装置等；出口有pH自动监测装置，建立治污设施运行台账；对有害气体有良好的净化装置，并定期检测</w:t>
            </w:r>
          </w:p>
        </w:tc>
        <w:tc>
          <w:tcPr>
            <w:tcW w:w="100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非电镀车间废水不得混入电镀废水处理系统；建立治污设施运行台账，有自动加药装置，出口有pH自动监测装置，对有害气体有良好的净化装置，并定期检测</w:t>
            </w:r>
          </w:p>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93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非电镀车间废水不得混入电镀废水处理系统；建立治污设施运行台账，出口有pH自动监测装置，对有害气体有良好的净化装置，并定期检测</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本项目完成后，电镀废水单独</w:t>
            </w:r>
            <w:r>
              <w:rPr>
                <w:rFonts w:hint="default" w:ascii="Times New Roman" w:hAnsi="Times New Roman" w:eastAsia="宋体" w:cs="Times New Roman"/>
                <w:b w:val="0"/>
                <w:bCs w:val="0"/>
                <w:color w:val="auto"/>
                <w:sz w:val="21"/>
                <w:szCs w:val="21"/>
                <w:highlight w:val="none"/>
                <w:u w:val="single"/>
                <w:vertAlign w:val="baseline"/>
                <w:lang w:val="en-US" w:eastAsia="zh-CN"/>
              </w:rPr>
              <w:t>处理；非电镀废水经独立废水站处理达标后与生活污水一起排入市政管网</w:t>
            </w:r>
            <w:r>
              <w:rPr>
                <w:rFonts w:hint="eastAsia" w:ascii="Times New Roman" w:hAnsi="Times New Roman" w:eastAsia="宋体" w:cs="Times New Roman"/>
                <w:b w:val="0"/>
                <w:bCs w:val="0"/>
                <w:color w:val="auto"/>
                <w:sz w:val="21"/>
                <w:szCs w:val="21"/>
                <w:highlight w:val="none"/>
                <w:u w:val="single"/>
                <w:vertAlign w:val="baseline"/>
                <w:lang w:val="en-US" w:eastAsia="zh-CN"/>
              </w:rPr>
              <w:t>，未设置自动投药装置</w:t>
            </w:r>
          </w:p>
        </w:tc>
        <w:tc>
          <w:tcPr>
            <w:tcW w:w="1422" w:type="dxa"/>
            <w:tcBorders>
              <w:tl2br w:val="nil"/>
              <w:tr2bl w:val="nil"/>
            </w:tcBorders>
            <w:vAlign w:val="center"/>
          </w:tcPr>
          <w:p>
            <w:pPr>
              <w:spacing w:line="240" w:lineRule="auto"/>
              <w:jc w:val="both"/>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本项目完成后，电镀废水单独</w:t>
            </w:r>
            <w:r>
              <w:rPr>
                <w:rFonts w:hint="default" w:ascii="Times New Roman" w:hAnsi="Times New Roman" w:eastAsia="宋体" w:cs="Times New Roman"/>
                <w:b w:val="0"/>
                <w:bCs w:val="0"/>
                <w:color w:val="auto"/>
                <w:sz w:val="21"/>
                <w:szCs w:val="21"/>
                <w:highlight w:val="none"/>
                <w:u w:val="single"/>
                <w:vertAlign w:val="baseline"/>
                <w:lang w:val="en-US" w:eastAsia="zh-CN"/>
              </w:rPr>
              <w:t>处理；非电镀废水经独立废水站处理达标后与生活污水一起排入市政管网</w:t>
            </w:r>
            <w:r>
              <w:rPr>
                <w:rFonts w:hint="eastAsia" w:ascii="Times New Roman" w:hAnsi="Times New Roman" w:eastAsia="宋体" w:cs="Times New Roman"/>
                <w:b w:val="0"/>
                <w:bCs w:val="0"/>
                <w:color w:val="auto"/>
                <w:sz w:val="21"/>
                <w:szCs w:val="21"/>
                <w:highlight w:val="none"/>
                <w:u w:val="single"/>
                <w:vertAlign w:val="baseline"/>
                <w:lang w:val="en-US" w:eastAsia="zh-CN"/>
              </w:rPr>
              <w:t>，</w:t>
            </w:r>
            <w:r>
              <w:rPr>
                <w:rFonts w:hint="default" w:ascii="Times New Roman" w:hAnsi="Times New Roman" w:eastAsia="宋体" w:cs="Times New Roman"/>
                <w:b w:val="0"/>
                <w:bCs w:val="0"/>
                <w:color w:val="auto"/>
                <w:sz w:val="21"/>
                <w:szCs w:val="21"/>
                <w:u w:val="single"/>
                <w:vertAlign w:val="baseline"/>
                <w:lang w:val="en-US" w:eastAsia="zh-CN"/>
              </w:rPr>
              <w:t>出口有pH自动监测装置，建立治污设施运行台账；</w:t>
            </w:r>
            <w:r>
              <w:rPr>
                <w:rFonts w:hint="eastAsia" w:ascii="Times New Roman" w:hAnsi="Times New Roman" w:eastAsia="宋体" w:cs="Times New Roman"/>
                <w:b w:val="0"/>
                <w:bCs w:val="0"/>
                <w:color w:val="auto"/>
                <w:sz w:val="21"/>
                <w:szCs w:val="21"/>
                <w:highlight w:val="none"/>
                <w:u w:val="single"/>
                <w:vertAlign w:val="baseline"/>
                <w:lang w:val="en-US" w:eastAsia="zh-CN"/>
              </w:rPr>
              <w:t>设置了自动投药装置</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Ⅱ级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eastAsia" w:ascii="Times New Roman" w:hAnsi="Times New Roman" w:eastAsia="宋体" w:cs="Times New Roman"/>
                <w:b w:val="0"/>
                <w:bCs w:val="0"/>
                <w:color w:val="auto"/>
                <w:sz w:val="21"/>
                <w:szCs w:val="21"/>
                <w:u w:val="single"/>
                <w:vertAlign w:val="baseline"/>
                <w:lang w:val="en-US" w:eastAsia="zh-CN"/>
              </w:rPr>
              <w:t>1.6</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22</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*危险废物处理处置</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w:t>
            </w:r>
          </w:p>
        </w:tc>
        <w:tc>
          <w:tcPr>
            <w:tcW w:w="4772"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危险废物按照GB18579等相关规定执行</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全厂危险废物按照GB18579等相关规定执行</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全厂危险废物按照GB18579等相关规定执行</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23</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能源计量器具配备情况</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w:t>
            </w:r>
          </w:p>
        </w:tc>
        <w:tc>
          <w:tcPr>
            <w:tcW w:w="4772"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能源计量器具配备率符合GB17167标准</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全厂严格按照GB17167标准配备能源计量器具</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全厂严格按照GB17167标准配备能源计量器具</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24</w:t>
            </w:r>
          </w:p>
        </w:tc>
        <w:tc>
          <w:tcPr>
            <w:tcW w:w="61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p>
        </w:tc>
        <w:tc>
          <w:tcPr>
            <w:tcW w:w="1388"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*环境应急预案</w:t>
            </w:r>
          </w:p>
        </w:tc>
        <w:tc>
          <w:tcPr>
            <w:tcW w:w="75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0.1</w:t>
            </w:r>
          </w:p>
        </w:tc>
        <w:tc>
          <w:tcPr>
            <w:tcW w:w="4772"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编制系统的环境应急预案并开展环境应急演练</w:t>
            </w:r>
          </w:p>
        </w:tc>
        <w:tc>
          <w:tcPr>
            <w:tcW w:w="15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u w:val="single"/>
                <w:vertAlign w:val="baseline"/>
                <w:lang w:val="en-US" w:eastAsia="zh-CN" w:bidi="ar-SA"/>
              </w:rPr>
            </w:pPr>
            <w:r>
              <w:rPr>
                <w:rFonts w:hint="default" w:ascii="Times New Roman" w:hAnsi="Times New Roman" w:eastAsia="宋体" w:cs="Times New Roman"/>
                <w:b w:val="0"/>
                <w:bCs w:val="0"/>
                <w:color w:val="auto"/>
                <w:sz w:val="21"/>
                <w:szCs w:val="21"/>
                <w:u w:val="single"/>
                <w:vertAlign w:val="baseline"/>
                <w:lang w:val="en-US" w:eastAsia="zh-CN"/>
              </w:rPr>
              <w:t>已编制系统的环境应急预案并开展环境应急演练</w:t>
            </w:r>
          </w:p>
        </w:tc>
        <w:tc>
          <w:tcPr>
            <w:tcW w:w="14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已编制系统的环境应急预案并开展环境应急演练</w:t>
            </w:r>
          </w:p>
        </w:tc>
        <w:tc>
          <w:tcPr>
            <w:tcW w:w="6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Ⅰ级</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95" w:type="dxa"/>
            <w:gridSpan w:val="10"/>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eastAsia" w:ascii="Times New Roman" w:hAnsi="Times New Roman" w:eastAsia="宋体" w:cs="Times New Roman"/>
                <w:b w:val="0"/>
                <w:bCs w:val="0"/>
                <w:color w:val="auto"/>
                <w:kern w:val="2"/>
                <w:sz w:val="21"/>
                <w:szCs w:val="21"/>
                <w:u w:val="single"/>
                <w:vertAlign w:val="baseline"/>
                <w:lang w:val="en-US" w:eastAsia="zh-CN" w:bidi="ar-SA"/>
              </w:rPr>
              <w:t>合计</w:t>
            </w:r>
          </w:p>
        </w:tc>
        <w:tc>
          <w:tcPr>
            <w:tcW w:w="3634" w:type="dxa"/>
            <w:gridSpan w:val="3"/>
            <w:tcBorders>
              <w:tl2br w:val="nil"/>
              <w:tr2bl w:val="nil"/>
            </w:tcBorders>
            <w:vAlign w:val="center"/>
          </w:tcPr>
          <w:p>
            <w:pPr>
              <w:spacing w:line="240" w:lineRule="auto"/>
              <w:jc w:val="center"/>
              <w:rPr>
                <w:u w:val="single"/>
              </w:rPr>
            </w:pPr>
            <w:r>
              <w:rPr>
                <w:rFonts w:hint="eastAsia" w:ascii="Times New Roman" w:hAnsi="Times New Roman" w:eastAsia="宋体" w:cs="Times New Roman"/>
                <w:b w:val="0"/>
                <w:bCs w:val="0"/>
                <w:color w:val="auto"/>
                <w:kern w:val="2"/>
                <w:sz w:val="21"/>
                <w:szCs w:val="21"/>
                <w:u w:val="single"/>
                <w:vertAlign w:val="baseline"/>
                <w:lang w:val="en-US" w:eastAsia="zh-CN" w:bidi="ar-SA"/>
              </w:rPr>
              <w:t>合计</w:t>
            </w:r>
          </w:p>
        </w:tc>
        <w:tc>
          <w:tcPr>
            <w:tcW w:w="66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eastAsia" w:ascii="Times New Roman" w:hAnsi="Times New Roman" w:eastAsia="宋体" w:cs="Times New Roman"/>
                <w:b w:val="0"/>
                <w:bCs w:val="0"/>
                <w:color w:val="auto"/>
                <w:sz w:val="21"/>
                <w:szCs w:val="21"/>
                <w:u w:val="single"/>
                <w:vertAlign w:val="baseline"/>
                <w:lang w:val="en-US" w:eastAsia="zh-CN"/>
              </w:rPr>
              <w:t>80.1</w:t>
            </w:r>
          </w:p>
        </w:tc>
        <w:tc>
          <w:tcPr>
            <w:tcW w:w="6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宋体" w:cs="Times New Roman"/>
                <w:b w:val="0"/>
                <w:bCs w:val="0"/>
                <w:color w:val="auto"/>
                <w:sz w:val="21"/>
                <w:szCs w:val="21"/>
                <w:u w:val="single"/>
                <w:vertAlign w:val="baseline"/>
                <w:lang w:val="en-US" w:eastAsia="zh-CN"/>
              </w:rPr>
              <w:t>100</w:t>
            </w:r>
          </w:p>
        </w:tc>
      </w:tr>
    </w:tbl>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注：带*的指标为限定性指标</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①使用金属回收工艺可以选用镀液回收槽、离子交换法回收、膜处理回收、电镀污泥交有资质单位回收金属等方法；</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②电镀生产线节能措施包括使用高频开关电源和或可控硅整流器和或脉冲电源，其直流母线压降不超过10%并且极杠清洁、导电良好、淘汰高耗能设备、使用清洁燃料；</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③每次清洗取水量使之按照操作规程每次清洗所耗用水量，多级逆流漂洗按照级数计算清洗次数；</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④镀锌、铜、镍、装饰铬、硬铬、镀金和含氰镀银为七个常规镀种，计算金属利用率时n为被审核镀种数；镀锡、无氰镀银等其他镀种可参照铜利用率计算。</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⑤减少单位产品重金属污染物产生的措施包括：镀件缓慢出槽以延长镀液滴流时间（影响产品质量的除外）、挂具浸塑、科学装挂镀件、增加镀液回收槽、镀槽间装导流板，槽上喷雾清洗或淋洗（非加热镀槽除外）、在线或离线回收重金属等。</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⑥提高电镀产品合格率是最有效减少污染物产生的措施，“有镀液成分和杂质定量检测措施、有记录”是指使用仪器定量检测镀液成分和主要杂质并由日常运行记录或委外检测报告。</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⑦自动生成线所占百分比以产能计算；多品种、小批量生成的电镀企业对生产线自动化没有要求；</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⑧生产车间基本要求：设备和管道无跑冒滴漏，有可靠的防范泄漏措施、生产作业地面、输送废水管道、废水处理系统由防腐防渗措施、有酸雾、氰化氢、氟化物、颗粒物等废气净化设施，有运行记录。</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⑨低铬钝化指钝化液中铬酸酐含量低于5g/L。</w:t>
      </w:r>
    </w:p>
    <w:p>
      <w:pPr>
        <w:keepNext w:val="0"/>
        <w:keepLines w:val="0"/>
        <w:widowControl/>
        <w:suppressLineNumbers w:val="0"/>
        <w:jc w:val="left"/>
        <w:rPr>
          <w:rFonts w:hint="default" w:ascii="Times New Roman" w:hAnsi="Times New Roman" w:cs="Times New Roman"/>
          <w:u w:val="single"/>
        </w:rPr>
      </w:pPr>
      <w:r>
        <w:rPr>
          <w:rFonts w:hint="default" w:ascii="Times New Roman" w:hAnsi="Times New Roman" w:eastAsia="宋体" w:cs="Times New Roman"/>
          <w:color w:val="000000"/>
          <w:kern w:val="0"/>
          <w:sz w:val="19"/>
          <w:szCs w:val="19"/>
          <w:u w:val="single"/>
          <w:lang w:val="en-US" w:eastAsia="zh-CN" w:bidi="ar"/>
        </w:rPr>
        <w:t>⑩电镀废水处理量应大于电镀车间总用水量的85%（高温处理槽为主的生产线除外）。</w:t>
      </w:r>
    </w:p>
    <w:p>
      <w:pPr>
        <w:spacing w:line="360" w:lineRule="auto"/>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eastAsia="宋体" w:cs="Times New Roman"/>
          <w:color w:val="000000"/>
          <w:kern w:val="0"/>
          <w:sz w:val="19"/>
          <w:szCs w:val="19"/>
          <w:u w:val="single"/>
          <w:lang w:val="en-US" w:eastAsia="zh-CN" w:bidi="ar"/>
        </w:rPr>
        <w:t>⑪非电镀车间废水：电镀车间废水包括电镀车间生产、现场洗手、洗工服、洗澡、化验室等产生的废水。其他无关车间并不含重金属的废水为非电镀车间废水。</w:t>
      </w:r>
    </w:p>
    <w:p>
      <w:pPr>
        <w:pStyle w:val="2"/>
        <w:jc w:val="center"/>
        <w:rPr>
          <w:rFonts w:hint="default" w:ascii="Times New Roman" w:hAnsi="Times New Roman" w:cs="Times New Roman"/>
          <w:b w:val="0"/>
          <w:bCs w:val="0"/>
          <w:color w:val="auto"/>
          <w:sz w:val="24"/>
          <w:szCs w:val="24"/>
          <w:u w:val="singl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360" w:lineRule="auto"/>
        <w:jc w:val="left"/>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7.6.1清洁生产前后指标变化说明</w:t>
      </w:r>
    </w:p>
    <w:p>
      <w:pPr>
        <w:spacing w:line="360" w:lineRule="auto"/>
        <w:ind w:firstLine="480"/>
        <w:jc w:val="left"/>
        <w:rPr>
          <w:rFonts w:hint="default" w:ascii="Times New Roman" w:hAnsi="Times New Roman" w:cs="Times New Roman"/>
          <w:b w:val="0"/>
          <w:bCs w:val="0"/>
          <w:i w:val="0"/>
          <w:iCs w:val="0"/>
          <w:color w:val="auto"/>
          <w:sz w:val="24"/>
          <w:szCs w:val="24"/>
          <w:highlight w:val="none"/>
          <w:u w:val="single"/>
          <w:lang w:val="en-US" w:eastAsia="zh-CN"/>
        </w:rPr>
      </w:pPr>
      <w:r>
        <w:rPr>
          <w:rFonts w:hint="default" w:ascii="Times New Roman" w:hAnsi="Times New Roman" w:cs="Times New Roman"/>
          <w:b w:val="0"/>
          <w:bCs w:val="0"/>
          <w:i w:val="0"/>
          <w:iCs w:val="0"/>
          <w:color w:val="auto"/>
          <w:sz w:val="24"/>
          <w:szCs w:val="24"/>
          <w:u w:val="single"/>
          <w:lang w:val="en-US" w:eastAsia="zh-CN"/>
        </w:rPr>
        <w:t>根据项目清洁生产实施情况，《评价体系》中多项指标发生了明显的改善，指标变化情况说明如下：</w:t>
      </w:r>
      <w:r>
        <w:rPr>
          <w:rFonts w:hint="default" w:ascii="Times New Roman" w:hAnsi="Times New Roman" w:cs="Times New Roman"/>
          <w:b w:val="0"/>
          <w:bCs w:val="0"/>
          <w:i w:val="0"/>
          <w:iCs w:val="0"/>
          <w:color w:val="auto"/>
          <w:sz w:val="24"/>
          <w:szCs w:val="24"/>
          <w:u w:val="single"/>
          <w:lang w:val="en-US" w:eastAsia="zh-CN"/>
        </w:rPr>
        <w:br w:type="textWrapping"/>
      </w:r>
      <w:r>
        <w:rPr>
          <w:rFonts w:hint="default" w:ascii="Times New Roman" w:hAnsi="Times New Roman" w:cs="Times New Roman"/>
          <w:b w:val="0"/>
          <w:bCs w:val="0"/>
          <w:i w:val="0"/>
          <w:iCs w:val="0"/>
          <w:color w:val="auto"/>
          <w:sz w:val="24"/>
          <w:szCs w:val="24"/>
          <w:u w:val="single"/>
          <w:lang w:val="en-US" w:eastAsia="zh-CN"/>
        </w:rPr>
        <w:t xml:space="preserve">   </w:t>
      </w:r>
      <w:r>
        <w:rPr>
          <w:rFonts w:hint="default" w:ascii="Times New Roman" w:hAnsi="Times New Roman" w:cs="Times New Roman"/>
          <w:b w:val="0"/>
          <w:bCs w:val="0"/>
          <w:i w:val="0"/>
          <w:iCs w:val="0"/>
          <w:color w:val="auto"/>
          <w:sz w:val="24"/>
          <w:szCs w:val="24"/>
          <w:highlight w:val="none"/>
          <w:u w:val="single"/>
          <w:lang w:val="en-US" w:eastAsia="zh-CN"/>
        </w:rPr>
        <w:t xml:space="preserve"> ①</w:t>
      </w:r>
      <w:r>
        <w:rPr>
          <w:rFonts w:hint="eastAsia" w:ascii="Times New Roman" w:hAnsi="Times New Roman" w:cs="Times New Roman"/>
          <w:b w:val="0"/>
          <w:bCs w:val="0"/>
          <w:i w:val="0"/>
          <w:iCs w:val="0"/>
          <w:color w:val="auto"/>
          <w:sz w:val="24"/>
          <w:szCs w:val="24"/>
          <w:highlight w:val="none"/>
          <w:u w:val="single"/>
          <w:lang w:val="en-US" w:eastAsia="zh-CN"/>
        </w:rPr>
        <w:t>“有节水设施”：项目原生产工艺中无明确用水计量装置，对生产用水的使用情况主要以人工凭经验水位进行补水，</w:t>
      </w:r>
      <w:r>
        <w:rPr>
          <w:rFonts w:hint="default" w:ascii="Times New Roman" w:hAnsi="Times New Roman" w:cs="Times New Roman"/>
          <w:b w:val="0"/>
          <w:bCs w:val="0"/>
          <w:i w:val="0"/>
          <w:iCs w:val="0"/>
          <w:color w:val="auto"/>
          <w:sz w:val="24"/>
          <w:szCs w:val="24"/>
          <w:highlight w:val="none"/>
          <w:u w:val="single"/>
          <w:lang w:val="en-US" w:eastAsia="zh-CN"/>
        </w:rPr>
        <w:t>经清洁生产方案F</w:t>
      </w:r>
      <w:r>
        <w:rPr>
          <w:rFonts w:hint="eastAsia" w:ascii="Times New Roman" w:hAnsi="Times New Roman" w:cs="Times New Roman"/>
          <w:b w:val="0"/>
          <w:bCs w:val="0"/>
          <w:i w:val="0"/>
          <w:iCs w:val="0"/>
          <w:color w:val="auto"/>
          <w:sz w:val="24"/>
          <w:szCs w:val="24"/>
          <w:highlight w:val="none"/>
          <w:u w:val="single"/>
          <w:lang w:val="en-US" w:eastAsia="zh-CN"/>
        </w:rPr>
        <w:t>03</w:t>
      </w:r>
      <w:r>
        <w:rPr>
          <w:rFonts w:hint="default" w:ascii="Times New Roman" w:hAnsi="Times New Roman" w:cs="Times New Roman"/>
          <w:b w:val="0"/>
          <w:bCs w:val="0"/>
          <w:i w:val="0"/>
          <w:iCs w:val="0"/>
          <w:color w:val="auto"/>
          <w:sz w:val="24"/>
          <w:szCs w:val="24"/>
          <w:highlight w:val="none"/>
          <w:u w:val="single"/>
          <w:lang w:val="en-US" w:eastAsia="zh-CN"/>
        </w:rPr>
        <w:t>实施后</w:t>
      </w:r>
      <w:r>
        <w:rPr>
          <w:rFonts w:hint="eastAsia" w:ascii="Times New Roman" w:hAnsi="Times New Roman" w:cs="Times New Roman"/>
          <w:b w:val="0"/>
          <w:bCs w:val="0"/>
          <w:i w:val="0"/>
          <w:iCs w:val="0"/>
          <w:color w:val="auto"/>
          <w:sz w:val="24"/>
          <w:szCs w:val="24"/>
          <w:highlight w:val="none"/>
          <w:u w:val="single"/>
          <w:lang w:val="en-US" w:eastAsia="zh-CN"/>
        </w:rPr>
        <w:t>明确了补水的水量频次，便于监控生产线用水情况，提高水的使用效率</w:t>
      </w:r>
      <w:r>
        <w:rPr>
          <w:rFonts w:hint="default" w:ascii="Times New Roman" w:hAnsi="Times New Roman" w:cs="Times New Roman"/>
          <w:b w:val="0"/>
          <w:bCs w:val="0"/>
          <w:i w:val="0"/>
          <w:iCs w:val="0"/>
          <w:color w:val="auto"/>
          <w:sz w:val="24"/>
          <w:szCs w:val="24"/>
          <w:highlight w:val="none"/>
          <w:u w:val="single"/>
          <w:lang w:val="en-US" w:eastAsia="zh-CN"/>
        </w:rPr>
        <w:t>，综合评价从</w:t>
      </w:r>
      <w:r>
        <w:rPr>
          <w:rFonts w:hint="eastAsia" w:ascii="Times New Roman" w:hAnsi="Times New Roman" w:cs="Times New Roman"/>
          <w:b w:val="0"/>
          <w:bCs w:val="0"/>
          <w:i w:val="0"/>
          <w:iCs w:val="0"/>
          <w:color w:val="auto"/>
          <w:sz w:val="24"/>
          <w:szCs w:val="24"/>
          <w:highlight w:val="none"/>
          <w:u w:val="single"/>
          <w:lang w:val="en-US" w:eastAsia="zh-CN"/>
        </w:rPr>
        <w:t>低于</w:t>
      </w:r>
      <w:r>
        <w:rPr>
          <w:rFonts w:hint="default" w:ascii="Times New Roman" w:hAnsi="Times New Roman" w:cs="Times New Roman"/>
          <w:b w:val="0"/>
          <w:bCs w:val="0"/>
          <w:i w:val="0"/>
          <w:iCs w:val="0"/>
          <w:color w:val="auto"/>
          <w:sz w:val="24"/>
          <w:szCs w:val="24"/>
          <w:highlight w:val="none"/>
          <w:u w:val="single"/>
          <w:lang w:val="en-US" w:eastAsia="zh-CN"/>
        </w:rPr>
        <w:t>Ⅲ级变化为Ⅲ级。</w:t>
      </w:r>
    </w:p>
    <w:p>
      <w:pPr>
        <w:spacing w:line="360" w:lineRule="auto"/>
        <w:ind w:firstLine="480"/>
        <w:jc w:val="left"/>
        <w:rPr>
          <w:rFonts w:hint="default" w:ascii="Times New Roman" w:hAnsi="Times New Roman" w:cs="Times New Roman"/>
          <w:b w:val="0"/>
          <w:bCs w:val="0"/>
          <w:i w:val="0"/>
          <w:iCs w:val="0"/>
          <w:color w:val="auto"/>
          <w:sz w:val="24"/>
          <w:szCs w:val="24"/>
          <w:highlight w:val="none"/>
          <w:u w:val="single"/>
          <w:lang w:val="en-US" w:eastAsia="zh-CN"/>
        </w:rPr>
      </w:pPr>
      <w:r>
        <w:rPr>
          <w:rFonts w:hint="default" w:ascii="Times New Roman" w:hAnsi="Times New Roman" w:cs="Times New Roman"/>
          <w:b w:val="0"/>
          <w:bCs w:val="0"/>
          <w:i w:val="0"/>
          <w:iCs w:val="0"/>
          <w:color w:val="auto"/>
          <w:sz w:val="24"/>
          <w:szCs w:val="24"/>
          <w:highlight w:val="none"/>
          <w:u w:val="single"/>
          <w:lang w:val="en-US" w:eastAsia="zh-CN"/>
        </w:rPr>
        <w:t>②</w:t>
      </w:r>
      <w:r>
        <w:rPr>
          <w:rFonts w:hint="eastAsia" w:ascii="Times New Roman" w:hAnsi="Times New Roman" w:cs="Times New Roman"/>
          <w:b w:val="0"/>
          <w:bCs w:val="0"/>
          <w:i w:val="0"/>
          <w:iCs w:val="0"/>
          <w:color w:val="auto"/>
          <w:sz w:val="24"/>
          <w:szCs w:val="24"/>
          <w:highlight w:val="none"/>
          <w:u w:val="single"/>
          <w:lang w:val="en-US" w:eastAsia="zh-CN"/>
        </w:rPr>
        <w:t>“废水、废气处理设施运行管理”：项目原生产工艺中无自动投药装置，</w:t>
      </w:r>
      <w:r>
        <w:rPr>
          <w:rFonts w:hint="default" w:ascii="Times New Roman" w:hAnsi="Times New Roman" w:cs="Times New Roman"/>
          <w:b w:val="0"/>
          <w:bCs w:val="0"/>
          <w:i w:val="0"/>
          <w:iCs w:val="0"/>
          <w:color w:val="auto"/>
          <w:sz w:val="24"/>
          <w:szCs w:val="24"/>
          <w:highlight w:val="none"/>
          <w:u w:val="single"/>
          <w:lang w:val="en-US" w:eastAsia="zh-CN"/>
        </w:rPr>
        <w:t>经清洁生产方案F</w:t>
      </w:r>
      <w:r>
        <w:rPr>
          <w:rFonts w:hint="eastAsia" w:ascii="Times New Roman" w:hAnsi="Times New Roman" w:cs="Times New Roman"/>
          <w:b w:val="0"/>
          <w:bCs w:val="0"/>
          <w:i w:val="0"/>
          <w:iCs w:val="0"/>
          <w:color w:val="auto"/>
          <w:sz w:val="24"/>
          <w:szCs w:val="24"/>
          <w:highlight w:val="none"/>
          <w:u w:val="single"/>
          <w:lang w:val="en-US" w:eastAsia="zh-CN"/>
        </w:rPr>
        <w:t>20实施后，电镀线含镍废水处理工艺从原集中处理区分离，安装了自动投药装置，</w:t>
      </w:r>
      <w:r>
        <w:rPr>
          <w:rFonts w:hint="default" w:ascii="Times New Roman" w:hAnsi="Times New Roman" w:cs="Times New Roman"/>
          <w:b w:val="0"/>
          <w:bCs w:val="0"/>
          <w:i w:val="0"/>
          <w:iCs w:val="0"/>
          <w:color w:val="auto"/>
          <w:sz w:val="24"/>
          <w:szCs w:val="24"/>
          <w:highlight w:val="none"/>
          <w:u w:val="single"/>
          <w:lang w:val="en-US" w:eastAsia="zh-CN"/>
        </w:rPr>
        <w:t>综合评价从Ⅲ级变化为Ⅱ级</w:t>
      </w:r>
    </w:p>
    <w:p>
      <w:pPr>
        <w:spacing w:line="360" w:lineRule="auto"/>
        <w:jc w:val="left"/>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7.6.2评价方法</w:t>
      </w:r>
    </w:p>
    <w:p>
      <w:pPr>
        <w:bidi w:val="0"/>
        <w:spacing w:line="600" w:lineRule="auto"/>
        <w:jc w:val="center"/>
        <w:rPr>
          <w:rFonts w:hint="default" w:ascii="Times New Roman" w:hAnsi="Times New Roman" w:cs="Times New Roman" w:eastAsiaTheme="minorEastAsia"/>
          <w:i w:val="0"/>
          <w:iCs w:val="0"/>
          <w:u w:val="single"/>
          <w:lang w:val="en-US" w:eastAsia="zh-CN"/>
        </w:rPr>
      </w:pPr>
      <w:r>
        <w:rPr>
          <w:rFonts w:hint="default" w:ascii="Times New Roman" w:hAnsi="Times New Roman" w:cs="Times New Roman"/>
          <w:i w:val="0"/>
          <w:iCs w:val="0"/>
          <w:u w:val="single"/>
        </w:rPr>
        <w:drawing>
          <wp:inline distT="0" distB="0" distL="114300" distR="114300">
            <wp:extent cx="2367280" cy="824230"/>
            <wp:effectExtent l="0" t="0" r="13970" b="13970"/>
            <wp:docPr id="15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1"/>
                    <pic:cNvPicPr>
                      <a:picLocks noChangeAspect="1"/>
                    </pic:cNvPicPr>
                  </pic:nvPicPr>
                  <pic:blipFill>
                    <a:blip r:embed="rId43"/>
                    <a:stretch>
                      <a:fillRect/>
                    </a:stretch>
                  </pic:blipFill>
                  <pic:spPr>
                    <a:xfrm>
                      <a:off x="0" y="0"/>
                      <a:ext cx="2367280" cy="824230"/>
                    </a:xfrm>
                    <a:prstGeom prst="rect">
                      <a:avLst/>
                    </a:prstGeom>
                    <a:noFill/>
                    <a:ln>
                      <a:noFill/>
                    </a:ln>
                  </pic:spPr>
                </pic:pic>
              </a:graphicData>
            </a:graphic>
          </wp:inline>
        </w:drawing>
      </w:r>
    </w:p>
    <w:p>
      <w:pPr>
        <w:spacing w:line="360" w:lineRule="auto"/>
        <w:ind w:firstLine="480" w:firstLineChars="200"/>
        <w:jc w:val="left"/>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式中，</w:t>
      </w:r>
      <w:r>
        <w:rPr>
          <w:rFonts w:hint="default" w:ascii="Times New Roman" w:hAnsi="Times New Roman" w:cs="Times New Roman"/>
          <w:b w:val="0"/>
          <w:bCs w:val="0"/>
          <w:i w:val="0"/>
          <w:iCs w:val="0"/>
          <w:color w:val="auto"/>
          <w:position w:val="-14"/>
          <w:sz w:val="24"/>
          <w:szCs w:val="24"/>
          <w:u w:val="single"/>
          <w:lang w:val="en-US" w:eastAsia="zh-CN"/>
        </w:rPr>
        <w:object>
          <v:shape id="_x0000_i1062" o:spt="75" type="#_x0000_t75" style="height:19pt;width:15pt;" o:ole="t" filled="f" o:preferrelative="t" stroked="f" coordsize="21600,21600">
            <v:path/>
            <v:fill on="f" focussize="0,0"/>
            <v:stroke on="f"/>
            <v:imagedata r:id="rId45" o:title=""/>
            <o:lock v:ext="edit" aspectratio="t"/>
            <w10:wrap type="none"/>
            <w10:anchorlock/>
          </v:shape>
          <o:OLEObject Type="Embed" ProgID="Equation.KSEE3" ShapeID="_x0000_i1062" DrawAspect="Content" ObjectID="_1468075763" r:id="rId87">
            <o:LockedField>false</o:LockedField>
          </o:OLEObject>
        </w:object>
      </w:r>
      <w:r>
        <w:rPr>
          <w:rFonts w:hint="default" w:ascii="Times New Roman" w:hAnsi="Times New Roman" w:cs="Times New Roman"/>
          <w:b w:val="0"/>
          <w:bCs w:val="0"/>
          <w:i w:val="0"/>
          <w:iCs w:val="0"/>
          <w:color w:val="auto"/>
          <w:sz w:val="24"/>
          <w:szCs w:val="24"/>
          <w:u w:val="single"/>
          <w:lang w:val="en-US" w:eastAsia="zh-CN"/>
        </w:rPr>
        <w:t>表示第i个一级指标下的第j个二级指标；</w:t>
      </w:r>
      <w:r>
        <w:rPr>
          <w:rFonts w:hint="default" w:ascii="Times New Roman" w:hAnsi="Times New Roman" w:cs="Times New Roman"/>
          <w:b w:val="0"/>
          <w:bCs w:val="0"/>
          <w:i w:val="0"/>
          <w:iCs w:val="0"/>
          <w:color w:val="auto"/>
          <w:position w:val="-10"/>
          <w:sz w:val="24"/>
          <w:szCs w:val="24"/>
          <w:u w:val="single"/>
          <w:lang w:val="en-US" w:eastAsia="zh-CN"/>
        </w:rPr>
        <w:object>
          <v:shape id="_x0000_i1063" o:spt="75" type="#_x0000_t75" style="height:17pt;width:13.95pt;" o:ole="t" filled="f" o:preferrelative="t" stroked="f" coordsize="21600,21600">
            <v:path/>
            <v:fill on="f" focussize="0,0"/>
            <v:stroke on="f"/>
            <v:imagedata r:id="rId47" o:title=""/>
            <o:lock v:ext="edit" aspectratio="t"/>
            <w10:wrap type="none"/>
            <w10:anchorlock/>
          </v:shape>
          <o:OLEObject Type="Embed" ProgID="Equation.KSEE3" ShapeID="_x0000_i1063" DrawAspect="Content" ObjectID="_1468075764" r:id="rId88">
            <o:LockedField>false</o:LockedField>
          </o:OLEObject>
        </w:object>
      </w:r>
      <w:r>
        <w:rPr>
          <w:rFonts w:hint="default" w:ascii="Times New Roman" w:hAnsi="Times New Roman" w:cs="Times New Roman"/>
          <w:b w:val="0"/>
          <w:bCs w:val="0"/>
          <w:i w:val="0"/>
          <w:iCs w:val="0"/>
          <w:color w:val="auto"/>
          <w:sz w:val="24"/>
          <w:szCs w:val="24"/>
          <w:u w:val="single"/>
          <w:lang w:val="en-US" w:eastAsia="zh-CN"/>
        </w:rPr>
        <w:t>表示二级指标基准值，其中</w:t>
      </w:r>
      <w:r>
        <w:rPr>
          <w:rFonts w:hint="default" w:ascii="Times New Roman" w:hAnsi="Times New Roman" w:cs="Times New Roman"/>
          <w:b w:val="0"/>
          <w:bCs w:val="0"/>
          <w:i w:val="0"/>
          <w:iCs w:val="0"/>
          <w:color w:val="auto"/>
          <w:position w:val="-10"/>
          <w:sz w:val="24"/>
          <w:szCs w:val="24"/>
          <w:u w:val="single"/>
          <w:lang w:val="en-US" w:eastAsia="zh-CN"/>
        </w:rPr>
        <w:object>
          <v:shape id="_x0000_i1064" o:spt="75" type="#_x0000_t75" style="height:17pt;width:13pt;" o:ole="t" filled="f" o:preferrelative="t" stroked="f" coordsize="21600,21600">
            <v:path/>
            <v:fill on="f" focussize="0,0"/>
            <v:stroke on="f"/>
            <v:imagedata r:id="rId49" o:title=""/>
            <o:lock v:ext="edit" aspectratio="t"/>
            <w10:wrap type="none"/>
            <w10:anchorlock/>
          </v:shape>
          <o:OLEObject Type="Embed" ProgID="Equation.KSEE3" ShapeID="_x0000_i1064" DrawAspect="Content" ObjectID="_1468075765" r:id="rId89">
            <o:LockedField>false</o:LockedField>
          </o:OLEObject>
        </w:object>
      </w:r>
      <w:r>
        <w:rPr>
          <w:rFonts w:hint="default" w:ascii="Times New Roman" w:hAnsi="Times New Roman" w:cs="Times New Roman"/>
          <w:b w:val="0"/>
          <w:bCs w:val="0"/>
          <w:i w:val="0"/>
          <w:iCs w:val="0"/>
          <w:color w:val="auto"/>
          <w:sz w:val="24"/>
          <w:szCs w:val="24"/>
          <w:u w:val="single"/>
          <w:lang w:val="en-US" w:eastAsia="zh-CN"/>
        </w:rPr>
        <w:t>为Ⅰ级水平，</w:t>
      </w:r>
      <w:r>
        <w:rPr>
          <w:rFonts w:hint="default" w:ascii="Times New Roman" w:hAnsi="Times New Roman" w:cs="Times New Roman"/>
          <w:b w:val="0"/>
          <w:bCs w:val="0"/>
          <w:i w:val="0"/>
          <w:iCs w:val="0"/>
          <w:color w:val="auto"/>
          <w:position w:val="-10"/>
          <w:sz w:val="24"/>
          <w:szCs w:val="24"/>
          <w:u w:val="single"/>
          <w:lang w:val="en-US" w:eastAsia="zh-CN"/>
        </w:rPr>
        <w:object>
          <v:shape id="_x0000_i1065" o:spt="75" type="#_x0000_t75" style="height:17pt;width:13.95pt;" o:ole="t" filled="f" o:preferrelative="t" stroked="f" coordsize="21600,21600">
            <v:path/>
            <v:fill on="f" focussize="0,0"/>
            <v:stroke on="f"/>
            <v:imagedata r:id="rId51" o:title=""/>
            <o:lock v:ext="edit" aspectratio="t"/>
            <w10:wrap type="none"/>
            <w10:anchorlock/>
          </v:shape>
          <o:OLEObject Type="Embed" ProgID="Equation.KSEE3" ShapeID="_x0000_i1065" DrawAspect="Content" ObjectID="_1468075766" r:id="rId90">
            <o:LockedField>false</o:LockedField>
          </o:OLEObject>
        </w:object>
      </w:r>
      <w:r>
        <w:rPr>
          <w:rFonts w:hint="default" w:ascii="Times New Roman" w:hAnsi="Times New Roman" w:cs="Times New Roman"/>
          <w:b w:val="0"/>
          <w:bCs w:val="0"/>
          <w:i w:val="0"/>
          <w:iCs w:val="0"/>
          <w:color w:val="auto"/>
          <w:sz w:val="24"/>
          <w:szCs w:val="24"/>
          <w:u w:val="single"/>
          <w:lang w:val="en-US" w:eastAsia="zh-CN"/>
        </w:rPr>
        <w:t>为Ⅱ级水平，</w:t>
      </w:r>
      <w:r>
        <w:rPr>
          <w:rFonts w:hint="default" w:ascii="Times New Roman" w:hAnsi="Times New Roman" w:cs="Times New Roman"/>
          <w:b w:val="0"/>
          <w:bCs w:val="0"/>
          <w:i w:val="0"/>
          <w:iCs w:val="0"/>
          <w:color w:val="auto"/>
          <w:position w:val="-12"/>
          <w:sz w:val="24"/>
          <w:szCs w:val="24"/>
          <w:u w:val="single"/>
          <w:lang w:val="en-US" w:eastAsia="zh-CN"/>
        </w:rPr>
        <w:object>
          <v:shape id="_x0000_i1066" o:spt="75" type="#_x0000_t75" style="height:18pt;width:13.95pt;" o:ole="t" filled="f" o:preferrelative="t" stroked="f" coordsize="21600,21600">
            <v:path/>
            <v:fill on="f" focussize="0,0"/>
            <v:stroke on="f"/>
            <v:imagedata r:id="rId53" o:title=""/>
            <o:lock v:ext="edit" aspectratio="t"/>
            <w10:wrap type="none"/>
            <w10:anchorlock/>
          </v:shape>
          <o:OLEObject Type="Embed" ProgID="Equation.KSEE3" ShapeID="_x0000_i1066" DrawAspect="Content" ObjectID="_1468075767" r:id="rId91">
            <o:LockedField>false</o:LockedField>
          </o:OLEObject>
        </w:object>
      </w:r>
      <w:r>
        <w:rPr>
          <w:rFonts w:hint="default" w:ascii="Times New Roman" w:hAnsi="Times New Roman" w:cs="Times New Roman"/>
          <w:b w:val="0"/>
          <w:bCs w:val="0"/>
          <w:i w:val="0"/>
          <w:iCs w:val="0"/>
          <w:color w:val="auto"/>
          <w:sz w:val="24"/>
          <w:szCs w:val="24"/>
          <w:u w:val="single"/>
          <w:lang w:val="en-US" w:eastAsia="zh-CN"/>
        </w:rPr>
        <w:t>为Ⅲ级水平；</w:t>
      </w:r>
      <w:r>
        <w:rPr>
          <w:rFonts w:hint="default" w:ascii="Times New Roman" w:hAnsi="Times New Roman" w:cs="Times New Roman"/>
          <w:b w:val="0"/>
          <w:bCs w:val="0"/>
          <w:i w:val="0"/>
          <w:iCs w:val="0"/>
          <w:color w:val="auto"/>
          <w:position w:val="-14"/>
          <w:sz w:val="24"/>
          <w:szCs w:val="24"/>
          <w:u w:val="single"/>
          <w:lang w:val="en-US" w:eastAsia="zh-CN"/>
        </w:rPr>
        <w:object>
          <v:shape id="_x0000_i1067" o:spt="75" type="#_x0000_t75" style="height:19pt;width:38pt;" o:ole="t" filled="f" o:preferrelative="t" stroked="f" coordsize="21600,21600">
            <v:path/>
            <v:fill on="f" focussize="0,0"/>
            <v:stroke on="f"/>
            <v:imagedata r:id="rId55" o:title=""/>
            <o:lock v:ext="edit" aspectratio="t"/>
            <w10:wrap type="none"/>
            <w10:anchorlock/>
          </v:shape>
          <o:OLEObject Type="Embed" ProgID="Equation.KSEE3" ShapeID="_x0000_i1067" DrawAspect="Content" ObjectID="_1468075768" r:id="rId92">
            <o:LockedField>false</o:LockedField>
          </o:OLEObject>
        </w:object>
      </w:r>
      <w:r>
        <w:rPr>
          <w:rFonts w:hint="default" w:ascii="Times New Roman" w:hAnsi="Times New Roman" w:cs="Times New Roman"/>
          <w:b w:val="0"/>
          <w:bCs w:val="0"/>
          <w:i w:val="0"/>
          <w:iCs w:val="0"/>
          <w:color w:val="auto"/>
          <w:sz w:val="24"/>
          <w:szCs w:val="24"/>
          <w:u w:val="single"/>
          <w:lang w:val="en-US" w:eastAsia="zh-CN"/>
        </w:rPr>
        <w:t>为二级指标</w:t>
      </w:r>
      <w:r>
        <w:rPr>
          <w:rFonts w:hint="default" w:ascii="Times New Roman" w:hAnsi="Times New Roman" w:cs="Times New Roman"/>
          <w:b w:val="0"/>
          <w:bCs w:val="0"/>
          <w:i w:val="0"/>
          <w:iCs w:val="0"/>
          <w:color w:val="auto"/>
          <w:position w:val="-14"/>
          <w:sz w:val="24"/>
          <w:szCs w:val="24"/>
          <w:u w:val="single"/>
          <w:lang w:val="en-US" w:eastAsia="zh-CN"/>
        </w:rPr>
        <w:object>
          <v:shape id="_x0000_i1068" o:spt="75" type="#_x0000_t75" style="height:19pt;width:15pt;" o:ole="t" filled="f" o:preferrelative="t" stroked="f" coordsize="21600,21600">
            <v:path/>
            <v:fill on="f" focussize="0,0"/>
            <v:stroke on="f"/>
            <v:imagedata r:id="rId57" o:title=""/>
            <o:lock v:ext="edit" aspectratio="t"/>
            <w10:wrap type="none"/>
            <w10:anchorlock/>
          </v:shape>
          <o:OLEObject Type="Embed" ProgID="Equation.KSEE3" ShapeID="_x0000_i1068" DrawAspect="Content" ObjectID="_1468075769" r:id="rId93">
            <o:LockedField>false</o:LockedField>
          </o:OLEObject>
        </w:object>
      </w:r>
      <w:r>
        <w:rPr>
          <w:rFonts w:hint="default" w:ascii="Times New Roman" w:hAnsi="Times New Roman" w:cs="Times New Roman"/>
          <w:b w:val="0"/>
          <w:bCs w:val="0"/>
          <w:i w:val="0"/>
          <w:iCs w:val="0"/>
          <w:color w:val="auto"/>
          <w:sz w:val="24"/>
          <w:szCs w:val="24"/>
          <w:u w:val="single"/>
          <w:lang w:val="en-US" w:eastAsia="zh-CN"/>
        </w:rPr>
        <w:t>对于级别</w:t>
      </w:r>
      <w:r>
        <w:rPr>
          <w:rFonts w:hint="default" w:ascii="Times New Roman" w:hAnsi="Times New Roman" w:cs="Times New Roman"/>
          <w:b w:val="0"/>
          <w:bCs w:val="0"/>
          <w:i w:val="0"/>
          <w:iCs w:val="0"/>
          <w:color w:val="auto"/>
          <w:position w:val="-10"/>
          <w:sz w:val="24"/>
          <w:szCs w:val="24"/>
          <w:u w:val="single"/>
          <w:lang w:val="en-US" w:eastAsia="zh-CN"/>
        </w:rPr>
        <w:object>
          <v:shape id="_x0000_i1069" o:spt="75" type="#_x0000_t75" style="height:17pt;width:13.95pt;" o:ole="t" filled="f" o:preferrelative="t" stroked="f" coordsize="21600,21600">
            <v:path/>
            <v:fill on="f" focussize="0,0"/>
            <v:stroke on="f"/>
            <v:imagedata r:id="rId47" o:title=""/>
            <o:lock v:ext="edit" aspectratio="t"/>
            <w10:wrap type="none"/>
            <w10:anchorlock/>
          </v:shape>
          <o:OLEObject Type="Embed" ProgID="Equation.KSEE3" ShapeID="_x0000_i1069" DrawAspect="Content" ObjectID="_1468075770" r:id="rId94">
            <o:LockedField>false</o:LockedField>
          </o:OLEObject>
        </w:object>
      </w:r>
      <w:r>
        <w:rPr>
          <w:rFonts w:hint="default" w:ascii="Times New Roman" w:hAnsi="Times New Roman" w:cs="Times New Roman"/>
          <w:b w:val="0"/>
          <w:bCs w:val="0"/>
          <w:i w:val="0"/>
          <w:iCs w:val="0"/>
          <w:color w:val="auto"/>
          <w:sz w:val="24"/>
          <w:szCs w:val="24"/>
          <w:u w:val="single"/>
          <w:lang w:val="en-US" w:eastAsia="zh-CN"/>
        </w:rPr>
        <w:t>的函数。</w:t>
      </w:r>
    </w:p>
    <w:p>
      <w:pPr>
        <w:spacing w:line="360" w:lineRule="auto"/>
        <w:ind w:firstLine="480" w:firstLineChars="200"/>
        <w:jc w:val="left"/>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如上式所示，若指标</w:t>
      </w:r>
      <w:r>
        <w:rPr>
          <w:rFonts w:hint="default" w:ascii="Times New Roman" w:hAnsi="Times New Roman" w:cs="Times New Roman"/>
          <w:b w:val="0"/>
          <w:bCs w:val="0"/>
          <w:i w:val="0"/>
          <w:iCs w:val="0"/>
          <w:color w:val="auto"/>
          <w:position w:val="-14"/>
          <w:sz w:val="24"/>
          <w:szCs w:val="24"/>
          <w:u w:val="single"/>
          <w:lang w:val="en-US" w:eastAsia="zh-CN"/>
        </w:rPr>
        <w:object>
          <v:shape id="_x0000_i1070" o:spt="75" type="#_x0000_t75" style="height:19pt;width:15pt;" o:ole="t" filled="f" o:preferrelative="t" stroked="f" coordsize="21600,21600">
            <v:path/>
            <v:fill on="f" focussize="0,0"/>
            <v:stroke on="f"/>
            <v:imagedata r:id="rId57" o:title=""/>
            <o:lock v:ext="edit" aspectratio="t"/>
            <w10:wrap type="none"/>
            <w10:anchorlock/>
          </v:shape>
          <o:OLEObject Type="Embed" ProgID="Equation.KSEE3" ShapeID="_x0000_i1070" DrawAspect="Content" ObjectID="_1468075771" r:id="rId95">
            <o:LockedField>false</o:LockedField>
          </o:OLEObject>
        </w:object>
      </w:r>
      <w:r>
        <w:rPr>
          <w:rFonts w:hint="default" w:ascii="Times New Roman" w:hAnsi="Times New Roman" w:cs="Times New Roman"/>
          <w:b w:val="0"/>
          <w:bCs w:val="0"/>
          <w:i w:val="0"/>
          <w:iCs w:val="0"/>
          <w:color w:val="auto"/>
          <w:sz w:val="24"/>
          <w:szCs w:val="24"/>
          <w:u w:val="single"/>
          <w:lang w:val="en-US" w:eastAsia="zh-CN"/>
        </w:rPr>
        <w:t>属于级别</w:t>
      </w:r>
      <w:r>
        <w:rPr>
          <w:rFonts w:hint="default" w:ascii="Times New Roman" w:hAnsi="Times New Roman" w:cs="Times New Roman"/>
          <w:b w:val="0"/>
          <w:bCs w:val="0"/>
          <w:i w:val="0"/>
          <w:iCs w:val="0"/>
          <w:color w:val="auto"/>
          <w:position w:val="-10"/>
          <w:sz w:val="24"/>
          <w:szCs w:val="24"/>
          <w:u w:val="single"/>
          <w:lang w:val="en-US" w:eastAsia="zh-CN"/>
        </w:rPr>
        <w:object>
          <v:shape id="_x0000_i1071" o:spt="75" type="#_x0000_t75" style="height:17pt;width:13.95pt;" o:ole="t" filled="f" o:preferrelative="t" stroked="f" coordsize="21600,21600">
            <v:path/>
            <v:fill on="f" focussize="0,0"/>
            <v:stroke on="f"/>
            <v:imagedata r:id="rId47" o:title=""/>
            <o:lock v:ext="edit" aspectratio="t"/>
            <w10:wrap type="none"/>
            <w10:anchorlock/>
          </v:shape>
          <o:OLEObject Type="Embed" ProgID="Equation.KSEE3" ShapeID="_x0000_i1071" DrawAspect="Content" ObjectID="_1468075772" r:id="rId96">
            <o:LockedField>false</o:LockedField>
          </o:OLEObject>
        </w:object>
      </w:r>
      <w:r>
        <w:rPr>
          <w:rFonts w:hint="default" w:ascii="Times New Roman" w:hAnsi="Times New Roman" w:cs="Times New Roman"/>
          <w:b w:val="0"/>
          <w:bCs w:val="0"/>
          <w:i w:val="0"/>
          <w:iCs w:val="0"/>
          <w:color w:val="auto"/>
          <w:sz w:val="24"/>
          <w:szCs w:val="24"/>
          <w:u w:val="single"/>
          <w:lang w:val="en-US" w:eastAsia="zh-CN"/>
        </w:rPr>
        <w:t>，则函数的值为100，否则为0。</w:t>
      </w:r>
    </w:p>
    <w:p>
      <w:pPr>
        <w:spacing w:line="360" w:lineRule="auto"/>
        <w:ind w:firstLine="480" w:firstLineChars="200"/>
        <w:jc w:val="left"/>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通过加权平均、逐层收敛可得到评价对象在不同级别</w:t>
      </w:r>
      <w:r>
        <w:rPr>
          <w:rFonts w:hint="default" w:ascii="Times New Roman" w:hAnsi="Times New Roman" w:cs="Times New Roman"/>
          <w:b w:val="0"/>
          <w:bCs w:val="0"/>
          <w:i w:val="0"/>
          <w:iCs w:val="0"/>
          <w:color w:val="auto"/>
          <w:position w:val="-10"/>
          <w:sz w:val="24"/>
          <w:szCs w:val="24"/>
          <w:u w:val="single"/>
          <w:lang w:val="en-US" w:eastAsia="zh-CN"/>
        </w:rPr>
        <w:object>
          <v:shape id="_x0000_i1072" o:spt="75" type="#_x0000_t75" style="height:17pt;width:13.95pt;" o:ole="t" filled="f" o:preferrelative="t" stroked="f" coordsize="21600,21600">
            <v:path/>
            <v:fill on="f" focussize="0,0"/>
            <v:stroke on="f"/>
            <v:imagedata r:id="rId47" o:title=""/>
            <o:lock v:ext="edit" aspectratio="t"/>
            <w10:wrap type="none"/>
            <w10:anchorlock/>
          </v:shape>
          <o:OLEObject Type="Embed" ProgID="Equation.KSEE3" ShapeID="_x0000_i1072" DrawAspect="Content" ObjectID="_1468075773" r:id="rId97">
            <o:LockedField>false</o:LockedField>
          </o:OLEObject>
        </w:object>
      </w:r>
      <w:r>
        <w:rPr>
          <w:rFonts w:hint="default" w:ascii="Times New Roman" w:hAnsi="Times New Roman" w:cs="Times New Roman"/>
          <w:b w:val="0"/>
          <w:bCs w:val="0"/>
          <w:i w:val="0"/>
          <w:iCs w:val="0"/>
          <w:color w:val="auto"/>
          <w:sz w:val="24"/>
          <w:szCs w:val="24"/>
          <w:u w:val="single"/>
          <w:lang w:val="en-US" w:eastAsia="zh-CN"/>
        </w:rPr>
        <w:t>的得分</w:t>
      </w:r>
      <w:r>
        <w:rPr>
          <w:rFonts w:hint="default" w:ascii="Times New Roman" w:hAnsi="Times New Roman" w:cs="Times New Roman"/>
          <w:b w:val="0"/>
          <w:bCs w:val="0"/>
          <w:i w:val="0"/>
          <w:iCs w:val="0"/>
          <w:color w:val="auto"/>
          <w:position w:val="-14"/>
          <w:sz w:val="24"/>
          <w:szCs w:val="24"/>
          <w:u w:val="single"/>
          <w:lang w:val="en-US" w:eastAsia="zh-CN"/>
        </w:rPr>
        <w:object>
          <v:shape id="_x0000_i1073" o:spt="75" type="#_x0000_t75" style="height:19pt;width:17pt;" o:ole="t" filled="f" o:preferrelative="t" stroked="f" coordsize="21600,21600">
            <v:path/>
            <v:fill on="f" focussize="0,0"/>
            <v:stroke on="f"/>
            <v:imagedata r:id="rId63" o:title=""/>
            <o:lock v:ext="edit" aspectratio="t"/>
            <w10:wrap type="none"/>
            <w10:anchorlock/>
          </v:shape>
          <o:OLEObject Type="Embed" ProgID="Equation.KSEE3" ShapeID="_x0000_i1073" DrawAspect="Content" ObjectID="_1468075774" r:id="rId98">
            <o:LockedField>false</o:LockedField>
          </o:OLEObject>
        </w:object>
      </w:r>
      <w:r>
        <w:rPr>
          <w:rFonts w:hint="default" w:ascii="Times New Roman" w:hAnsi="Times New Roman" w:cs="Times New Roman"/>
          <w:b w:val="0"/>
          <w:bCs w:val="0"/>
          <w:i w:val="0"/>
          <w:iCs w:val="0"/>
          <w:color w:val="auto"/>
          <w:sz w:val="24"/>
          <w:szCs w:val="24"/>
          <w:u w:val="single"/>
          <w:lang w:val="en-US" w:eastAsia="zh-CN"/>
        </w:rPr>
        <w:t>，如下式所示。</w:t>
      </w:r>
    </w:p>
    <w:p>
      <w:pPr>
        <w:spacing w:line="360" w:lineRule="auto"/>
        <w:ind w:firstLine="420" w:firstLineChars="200"/>
        <w:jc w:val="center"/>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i w:val="0"/>
          <w:iCs w:val="0"/>
          <w:u w:val="single"/>
        </w:rPr>
        <w:drawing>
          <wp:inline distT="0" distB="0" distL="114300" distR="114300">
            <wp:extent cx="3088640" cy="841375"/>
            <wp:effectExtent l="0" t="0" r="16510" b="15875"/>
            <wp:docPr id="15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24"/>
                    <pic:cNvPicPr>
                      <a:picLocks noChangeAspect="1"/>
                    </pic:cNvPicPr>
                  </pic:nvPicPr>
                  <pic:blipFill>
                    <a:blip r:embed="rId64"/>
                    <a:stretch>
                      <a:fillRect/>
                    </a:stretch>
                  </pic:blipFill>
                  <pic:spPr>
                    <a:xfrm>
                      <a:off x="0" y="0"/>
                      <a:ext cx="3088640" cy="841375"/>
                    </a:xfrm>
                    <a:prstGeom prst="rect">
                      <a:avLst/>
                    </a:prstGeom>
                    <a:noFill/>
                    <a:ln>
                      <a:noFill/>
                    </a:ln>
                  </pic:spPr>
                </pic:pic>
              </a:graphicData>
            </a:graphic>
          </wp:inline>
        </w:drawing>
      </w:r>
    </w:p>
    <w:p>
      <w:pPr>
        <w:spacing w:line="360" w:lineRule="auto"/>
        <w:ind w:firstLine="480" w:firstLineChars="200"/>
        <w:jc w:val="left"/>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式中，</w:t>
      </w:r>
      <w:r>
        <w:rPr>
          <w:rFonts w:hint="default" w:ascii="Times New Roman" w:hAnsi="Times New Roman" w:cs="Times New Roman"/>
          <w:b w:val="0"/>
          <w:bCs w:val="0"/>
          <w:i w:val="0"/>
          <w:iCs w:val="0"/>
          <w:color w:val="auto"/>
          <w:position w:val="-10"/>
          <w:sz w:val="24"/>
          <w:szCs w:val="24"/>
          <w:u w:val="single"/>
          <w:lang w:val="en-US" w:eastAsia="zh-CN"/>
        </w:rPr>
        <w:object>
          <v:shape id="_x0000_i1074" o:spt="75" type="#_x0000_t75" style="height:17pt;width:16pt;" o:ole="t" filled="f" o:preferrelative="t" stroked="f" coordsize="21600,21600">
            <v:path/>
            <v:fill on="f" focussize="0,0"/>
            <v:stroke on="f"/>
            <v:imagedata r:id="rId66" o:title=""/>
            <o:lock v:ext="edit" aspectratio="t"/>
            <w10:wrap type="none"/>
            <w10:anchorlock/>
          </v:shape>
          <o:OLEObject Type="Embed" ProgID="Equation.KSEE3" ShapeID="_x0000_i1074" DrawAspect="Content" ObjectID="_1468075775" r:id="rId99">
            <o:LockedField>false</o:LockedField>
          </o:OLEObject>
        </w:object>
      </w:r>
      <w:r>
        <w:rPr>
          <w:rFonts w:hint="default" w:ascii="Times New Roman" w:hAnsi="Times New Roman" w:cs="Times New Roman"/>
          <w:b w:val="0"/>
          <w:bCs w:val="0"/>
          <w:i w:val="0"/>
          <w:iCs w:val="0"/>
          <w:color w:val="auto"/>
          <w:sz w:val="24"/>
          <w:szCs w:val="24"/>
          <w:u w:val="single"/>
          <w:lang w:val="en-US" w:eastAsia="zh-CN"/>
        </w:rPr>
        <w:t>为第i个一级指标的权重，</w:t>
      </w:r>
      <w:r>
        <w:rPr>
          <w:rFonts w:hint="default" w:ascii="Times New Roman" w:hAnsi="Times New Roman" w:cs="Times New Roman"/>
          <w:b w:val="0"/>
          <w:bCs w:val="0"/>
          <w:i w:val="0"/>
          <w:iCs w:val="0"/>
          <w:color w:val="auto"/>
          <w:position w:val="-14"/>
          <w:sz w:val="24"/>
          <w:szCs w:val="24"/>
          <w:u w:val="single"/>
          <w:lang w:val="en-US" w:eastAsia="zh-CN"/>
        </w:rPr>
        <w:object>
          <v:shape id="_x0000_i1075" o:spt="75" type="#_x0000_t75" style="height:19pt;width:15pt;" o:ole="t" filled="f" o:preferrelative="t" stroked="f" coordsize="21600,21600">
            <v:path/>
            <v:fill on="f" focussize="0,0"/>
            <v:stroke on="f"/>
            <v:imagedata r:id="rId68" o:title=""/>
            <o:lock v:ext="edit" aspectratio="t"/>
            <w10:wrap type="none"/>
            <w10:anchorlock/>
          </v:shape>
          <o:OLEObject Type="Embed" ProgID="Equation.KSEE3" ShapeID="_x0000_i1075" DrawAspect="Content" ObjectID="_1468075776" r:id="rId100">
            <o:LockedField>false</o:LockedField>
          </o:OLEObject>
        </w:object>
      </w:r>
      <w:r>
        <w:rPr>
          <w:rFonts w:hint="default" w:ascii="Times New Roman" w:hAnsi="Times New Roman" w:cs="Times New Roman"/>
          <w:b w:val="0"/>
          <w:bCs w:val="0"/>
          <w:i w:val="0"/>
          <w:iCs w:val="0"/>
          <w:color w:val="auto"/>
          <w:sz w:val="24"/>
          <w:szCs w:val="24"/>
          <w:u w:val="single"/>
          <w:lang w:val="en-US" w:eastAsia="zh-CN"/>
        </w:rPr>
        <w:t>为第i个一级指标下的第j个二级指标的权重，其中</w:t>
      </w:r>
      <w:r>
        <w:rPr>
          <w:rFonts w:hint="default" w:ascii="Times New Roman" w:hAnsi="Times New Roman" w:cs="Times New Roman"/>
          <w:b w:val="0"/>
          <w:bCs w:val="0"/>
          <w:i w:val="0"/>
          <w:iCs w:val="0"/>
          <w:color w:val="auto"/>
          <w:position w:val="-28"/>
          <w:sz w:val="24"/>
          <w:szCs w:val="24"/>
          <w:u w:val="single"/>
          <w:lang w:val="en-US" w:eastAsia="zh-CN"/>
        </w:rPr>
        <w:object>
          <v:shape id="_x0000_i1076" o:spt="75" type="#_x0000_t75" style="height:34pt;width:47pt;" o:ole="t" filled="f" o:preferrelative="t" stroked="f" coordsize="21600,21600">
            <v:path/>
            <v:fill on="f" focussize="0,0"/>
            <v:stroke on="f"/>
            <v:imagedata r:id="rId70" o:title=""/>
            <o:lock v:ext="edit" aspectratio="t"/>
            <w10:wrap type="none"/>
            <w10:anchorlock/>
          </v:shape>
          <o:OLEObject Type="Embed" ProgID="Equation.KSEE3" ShapeID="_x0000_i1076" DrawAspect="Content" ObjectID="_1468075777" r:id="rId101">
            <o:LockedField>false</o:LockedField>
          </o:OLEObject>
        </w:object>
      </w:r>
      <w:r>
        <w:rPr>
          <w:rFonts w:hint="default" w:ascii="Times New Roman" w:hAnsi="Times New Roman" w:cs="Times New Roman"/>
          <w:b w:val="0"/>
          <w:bCs w:val="0"/>
          <w:i w:val="0"/>
          <w:iCs w:val="0"/>
          <w:color w:val="auto"/>
          <w:sz w:val="24"/>
          <w:szCs w:val="24"/>
          <w:u w:val="single"/>
          <w:lang w:val="en-US" w:eastAsia="zh-CN"/>
        </w:rPr>
        <w:t>，</w:t>
      </w:r>
      <w:r>
        <w:rPr>
          <w:rFonts w:hint="default" w:ascii="Times New Roman" w:hAnsi="Times New Roman" w:cs="Times New Roman"/>
          <w:b w:val="0"/>
          <w:bCs w:val="0"/>
          <w:i w:val="0"/>
          <w:iCs w:val="0"/>
          <w:color w:val="auto"/>
          <w:position w:val="-30"/>
          <w:sz w:val="24"/>
          <w:szCs w:val="24"/>
          <w:u w:val="single"/>
          <w:lang w:val="en-US" w:eastAsia="zh-CN"/>
        </w:rPr>
        <w:object>
          <v:shape id="_x0000_i1077" o:spt="75" type="#_x0000_t75" style="height:36pt;width:46pt;" o:ole="t" filled="f" o:preferrelative="t" stroked="f" coordsize="21600,21600">
            <v:path/>
            <v:fill on="f" focussize="0,0"/>
            <v:stroke on="f"/>
            <v:imagedata r:id="rId72" o:title=""/>
            <o:lock v:ext="edit" aspectratio="t"/>
            <w10:wrap type="none"/>
            <w10:anchorlock/>
          </v:shape>
          <o:OLEObject Type="Embed" ProgID="Equation.KSEE3" ShapeID="_x0000_i1077" DrawAspect="Content" ObjectID="_1468075778" r:id="rId102">
            <o:LockedField>false</o:LockedField>
          </o:OLEObject>
        </w:object>
      </w:r>
      <w:r>
        <w:rPr>
          <w:rFonts w:hint="default" w:ascii="Times New Roman" w:hAnsi="Times New Roman" w:cs="Times New Roman"/>
          <w:b w:val="0"/>
          <w:bCs w:val="0"/>
          <w:i w:val="0"/>
          <w:iCs w:val="0"/>
          <w:color w:val="auto"/>
          <w:sz w:val="24"/>
          <w:szCs w:val="24"/>
          <w:u w:val="single"/>
          <w:lang w:val="en-US" w:eastAsia="zh-CN"/>
        </w:rPr>
        <w:t>，m为一级指标的个数；</w:t>
      </w:r>
      <w:r>
        <w:rPr>
          <w:rFonts w:hint="default" w:ascii="Times New Roman" w:hAnsi="Times New Roman" w:cs="Times New Roman"/>
          <w:b w:val="0"/>
          <w:bCs w:val="0"/>
          <w:i w:val="0"/>
          <w:iCs w:val="0"/>
          <w:color w:val="auto"/>
          <w:position w:val="-10"/>
          <w:sz w:val="24"/>
          <w:szCs w:val="24"/>
          <w:u w:val="single"/>
          <w:lang w:val="en-US" w:eastAsia="zh-CN"/>
        </w:rPr>
        <w:object>
          <v:shape id="_x0000_i1078" o:spt="75" type="#_x0000_t75" style="height:17pt;width:13pt;" o:ole="t" filled="f" o:preferrelative="t" stroked="f" coordsize="21600,21600">
            <v:path/>
            <v:fill on="f" focussize="0,0"/>
            <v:stroke on="f"/>
            <v:imagedata r:id="rId74" o:title=""/>
            <o:lock v:ext="edit" aspectratio="t"/>
            <w10:wrap type="none"/>
            <w10:anchorlock/>
          </v:shape>
          <o:OLEObject Type="Embed" ProgID="Equation.KSEE3" ShapeID="_x0000_i1078" DrawAspect="Content" ObjectID="_1468075779" r:id="rId103">
            <o:LockedField>false</o:LockedField>
          </o:OLEObject>
        </w:object>
      </w:r>
      <w:r>
        <w:rPr>
          <w:rFonts w:hint="default" w:ascii="Times New Roman" w:hAnsi="Times New Roman" w:cs="Times New Roman"/>
          <w:b w:val="0"/>
          <w:bCs w:val="0"/>
          <w:i w:val="0"/>
          <w:iCs w:val="0"/>
          <w:color w:val="auto"/>
          <w:sz w:val="24"/>
          <w:szCs w:val="24"/>
          <w:u w:val="single"/>
          <w:lang w:val="en-US" w:eastAsia="zh-CN"/>
        </w:rPr>
        <w:t>为第i个一级指标下二级指标的个数。另外，</w:t>
      </w:r>
      <w:r>
        <w:rPr>
          <w:rFonts w:hint="default" w:ascii="Times New Roman" w:hAnsi="Times New Roman" w:cs="Times New Roman"/>
          <w:b w:val="0"/>
          <w:bCs w:val="0"/>
          <w:i w:val="0"/>
          <w:iCs w:val="0"/>
          <w:color w:val="auto"/>
          <w:position w:val="-14"/>
          <w:sz w:val="24"/>
          <w:szCs w:val="24"/>
          <w:u w:val="single"/>
          <w:lang w:val="en-US" w:eastAsia="zh-CN"/>
        </w:rPr>
        <w:object>
          <v:shape id="_x0000_i1079" o:spt="75" type="#_x0000_t75" style="height:19pt;width:16pt;" o:ole="t" filled="f" o:preferrelative="t" stroked="f" coordsize="21600,21600">
            <v:path/>
            <v:fill on="f" focussize="0,0"/>
            <v:stroke on="f"/>
            <v:imagedata r:id="rId76" o:title=""/>
            <o:lock v:ext="edit" aspectratio="t"/>
            <w10:wrap type="none"/>
            <w10:anchorlock/>
          </v:shape>
          <o:OLEObject Type="Embed" ProgID="Equation.KSEE3" ShapeID="_x0000_i1079" DrawAspect="Content" ObjectID="_1468075780" r:id="rId104">
            <o:LockedField>false</o:LockedField>
          </o:OLEObject>
        </w:object>
      </w:r>
      <w:r>
        <w:rPr>
          <w:rFonts w:hint="default" w:ascii="Times New Roman" w:hAnsi="Times New Roman" w:cs="Times New Roman"/>
          <w:b w:val="0"/>
          <w:bCs w:val="0"/>
          <w:i w:val="0"/>
          <w:iCs w:val="0"/>
          <w:color w:val="auto"/>
          <w:sz w:val="24"/>
          <w:szCs w:val="24"/>
          <w:u w:val="single"/>
          <w:lang w:val="en-US" w:eastAsia="zh-CN"/>
        </w:rPr>
        <w:t>等同于Y，</w:t>
      </w:r>
      <w:r>
        <w:rPr>
          <w:rFonts w:hint="default" w:ascii="Times New Roman" w:hAnsi="Times New Roman" w:cs="Times New Roman"/>
          <w:b w:val="0"/>
          <w:bCs w:val="0"/>
          <w:i w:val="0"/>
          <w:iCs w:val="0"/>
          <w:color w:val="auto"/>
          <w:position w:val="-14"/>
          <w:sz w:val="24"/>
          <w:szCs w:val="24"/>
          <w:u w:val="single"/>
          <w:lang w:val="en-US" w:eastAsia="zh-CN"/>
        </w:rPr>
        <w:object>
          <v:shape id="_x0000_i1080" o:spt="75" type="#_x0000_t75" style="height:19pt;width:16pt;" o:ole="t" filled="f" o:preferrelative="t" stroked="f" coordsize="21600,21600">
            <v:path/>
            <v:fill on="f" focussize="0,0"/>
            <v:stroke on="f"/>
            <v:imagedata r:id="rId78" o:title=""/>
            <o:lock v:ext="edit" aspectratio="t"/>
            <w10:wrap type="none"/>
            <w10:anchorlock/>
          </v:shape>
          <o:OLEObject Type="Embed" ProgID="Equation.KSEE3" ShapeID="_x0000_i1080" DrawAspect="Content" ObjectID="_1468075781" r:id="rId105">
            <o:LockedField>false</o:LockedField>
          </o:OLEObject>
        </w:object>
      </w:r>
      <w:r>
        <w:rPr>
          <w:rFonts w:hint="default" w:ascii="Times New Roman" w:hAnsi="Times New Roman" w:cs="Times New Roman"/>
          <w:b w:val="0"/>
          <w:bCs w:val="0"/>
          <w:i w:val="0"/>
          <w:iCs w:val="0"/>
          <w:color w:val="auto"/>
          <w:sz w:val="24"/>
          <w:szCs w:val="24"/>
          <w:u w:val="single"/>
          <w:lang w:val="en-US" w:eastAsia="zh-CN"/>
        </w:rPr>
        <w:t>等同于Y，</w:t>
      </w:r>
      <w:r>
        <w:rPr>
          <w:rFonts w:hint="default" w:ascii="Times New Roman" w:hAnsi="Times New Roman" w:cs="Times New Roman"/>
          <w:b w:val="0"/>
          <w:bCs w:val="0"/>
          <w:i w:val="0"/>
          <w:iCs w:val="0"/>
          <w:color w:val="auto"/>
          <w:position w:val="-14"/>
          <w:sz w:val="24"/>
          <w:szCs w:val="24"/>
          <w:u w:val="single"/>
          <w:lang w:val="en-US" w:eastAsia="zh-CN"/>
        </w:rPr>
        <w:object>
          <v:shape id="_x0000_i1081" o:spt="75" type="#_x0000_t75" style="height:19pt;width:16pt;" o:ole="t" filled="f" o:preferrelative="t" stroked="f" coordsize="21600,21600">
            <v:path/>
            <v:fill on="f" focussize="0,0"/>
            <v:stroke on="f"/>
            <v:imagedata r:id="rId80" o:title=""/>
            <o:lock v:ext="edit" aspectratio="t"/>
            <w10:wrap type="none"/>
            <w10:anchorlock/>
          </v:shape>
          <o:OLEObject Type="Embed" ProgID="Equation.KSEE3" ShapeID="_x0000_i1081" DrawAspect="Content" ObjectID="_1468075782" r:id="rId106">
            <o:LockedField>false</o:LockedField>
          </o:OLEObject>
        </w:object>
      </w:r>
      <w:r>
        <w:rPr>
          <w:rFonts w:hint="default" w:ascii="Times New Roman" w:hAnsi="Times New Roman" w:cs="Times New Roman"/>
          <w:b w:val="0"/>
          <w:bCs w:val="0"/>
          <w:i w:val="0"/>
          <w:iCs w:val="0"/>
          <w:color w:val="auto"/>
          <w:sz w:val="24"/>
          <w:szCs w:val="24"/>
          <w:u w:val="single"/>
          <w:lang w:val="en-US" w:eastAsia="zh-CN"/>
        </w:rPr>
        <w:t>等同于Y。</w:t>
      </w:r>
    </w:p>
    <w:p>
      <w:pPr>
        <w:spacing w:line="360" w:lineRule="auto"/>
        <w:jc w:val="left"/>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7.6.3 清洁生产审核后项目清洁生产水平的评定</w:t>
      </w:r>
    </w:p>
    <w:p>
      <w:pPr>
        <w:spacing w:line="360" w:lineRule="auto"/>
        <w:ind w:firstLine="480" w:firstLineChars="200"/>
        <w:jc w:val="left"/>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根据综合评价指数，确定清洁生产水平等级。对电镀企业清洁生产水平的评价，是以其清洁生产综合评价指数为依据的，对达到一定综合评价指数的企业，分别评定为清洁生产领先企业、清洁生产先进企业或清洁生产一般企业。根据目前我国电镀行业的实际情况，不同等级的清洁生产企业的综合评价指数列于表7-11。</w:t>
      </w:r>
    </w:p>
    <w:p>
      <w:pPr>
        <w:spacing w:line="360" w:lineRule="auto"/>
        <w:ind w:firstLine="480" w:firstLineChars="200"/>
        <w:jc w:val="center"/>
        <w:rPr>
          <w:rFonts w:hint="default" w:ascii="Times New Roman" w:hAnsi="Times New Roman" w:cs="Times New Roman"/>
          <w:b w:val="0"/>
          <w:bCs w:val="0"/>
          <w:i w:val="0"/>
          <w:iCs w:val="0"/>
          <w:color w:val="auto"/>
          <w:sz w:val="24"/>
          <w:szCs w:val="24"/>
          <w:u w:val="single"/>
          <w:vertAlign w:val="baseline"/>
          <w:lang w:val="en-US" w:eastAsia="zh-CN"/>
        </w:rPr>
      </w:pPr>
      <w:r>
        <w:rPr>
          <w:rFonts w:hint="default" w:ascii="Times New Roman" w:hAnsi="Times New Roman" w:cs="Times New Roman"/>
          <w:b w:val="0"/>
          <w:bCs w:val="0"/>
          <w:i w:val="0"/>
          <w:iCs w:val="0"/>
          <w:color w:val="auto"/>
          <w:sz w:val="24"/>
          <w:szCs w:val="24"/>
          <w:u w:val="single"/>
          <w:lang w:val="en-US" w:eastAsia="zh-CN"/>
        </w:rPr>
        <w:t>表7-11   电镀行业不同等级清洁生产企业综合评价指数</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19"/>
        <w:gridCol w:w="550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i w:val="0"/>
                <w:iCs w:val="0"/>
                <w:color w:val="auto"/>
                <w:sz w:val="21"/>
                <w:szCs w:val="21"/>
                <w:u w:val="single"/>
                <w:vertAlign w:val="baseline"/>
                <w:lang w:val="en-US" w:eastAsia="zh-CN"/>
              </w:rPr>
            </w:pPr>
            <w:r>
              <w:rPr>
                <w:rFonts w:hint="default" w:ascii="Times New Roman" w:hAnsi="Times New Roman" w:eastAsia="宋体" w:cs="Times New Roman"/>
                <w:b w:val="0"/>
                <w:bCs w:val="0"/>
                <w:i w:val="0"/>
                <w:iCs w:val="0"/>
                <w:color w:val="auto"/>
                <w:sz w:val="21"/>
                <w:szCs w:val="21"/>
                <w:u w:val="single"/>
                <w:vertAlign w:val="baseline"/>
                <w:lang w:val="en-US" w:eastAsia="zh-CN"/>
              </w:rPr>
              <w:t>企业清洁生产水平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i w:val="0"/>
                <w:iCs w:val="0"/>
                <w:color w:val="auto"/>
                <w:sz w:val="21"/>
                <w:szCs w:val="21"/>
                <w:u w:val="single"/>
                <w:vertAlign w:val="baseline"/>
                <w:lang w:val="en-US" w:eastAsia="zh-CN"/>
              </w:rPr>
            </w:pPr>
            <w:r>
              <w:rPr>
                <w:rFonts w:hint="default" w:ascii="Times New Roman" w:hAnsi="Times New Roman" w:eastAsia="宋体" w:cs="Times New Roman"/>
                <w:b w:val="0"/>
                <w:bCs w:val="0"/>
                <w:i w:val="0"/>
                <w:iCs w:val="0"/>
                <w:color w:val="auto"/>
                <w:sz w:val="21"/>
                <w:szCs w:val="21"/>
                <w:u w:val="single"/>
                <w:vertAlign w:val="baseline"/>
                <w:lang w:val="en-US" w:eastAsia="zh-CN"/>
              </w:rPr>
              <w:t>评定条件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i w:val="0"/>
                <w:iCs w:val="0"/>
                <w:color w:val="auto"/>
                <w:sz w:val="21"/>
                <w:szCs w:val="21"/>
                <w:u w:val="single"/>
                <w:vertAlign w:val="baseline"/>
                <w:lang w:val="en-US" w:eastAsia="zh-CN"/>
              </w:rPr>
            </w:pPr>
            <w:r>
              <w:rPr>
                <w:rFonts w:hint="default" w:ascii="Times New Roman" w:hAnsi="Times New Roman" w:eastAsia="宋体" w:cs="Times New Roman"/>
                <w:b w:val="0"/>
                <w:bCs w:val="0"/>
                <w:i w:val="0"/>
                <w:iCs w:val="0"/>
                <w:color w:val="auto"/>
                <w:sz w:val="21"/>
                <w:szCs w:val="21"/>
                <w:u w:val="single"/>
                <w:vertAlign w:val="baseline"/>
                <w:lang w:val="en-US" w:eastAsia="zh-CN"/>
              </w:rPr>
              <w:t>Ⅰ级（国际清洁生产领先水平）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i w:val="0"/>
                <w:iCs w:val="0"/>
                <w:color w:val="auto"/>
                <w:sz w:val="21"/>
                <w:szCs w:val="21"/>
                <w:u w:val="single"/>
                <w:vertAlign w:val="baseline"/>
                <w:lang w:val="en-US" w:eastAsia="zh-CN"/>
              </w:rPr>
            </w:pPr>
            <w:r>
              <w:rPr>
                <w:rFonts w:hint="default" w:ascii="Times New Roman" w:hAnsi="Times New Roman" w:eastAsia="宋体" w:cs="Times New Roman"/>
                <w:b w:val="0"/>
                <w:bCs w:val="0"/>
                <w:i w:val="0"/>
                <w:iCs w:val="0"/>
                <w:color w:val="auto"/>
                <w:sz w:val="21"/>
                <w:szCs w:val="21"/>
                <w:u w:val="single"/>
                <w:vertAlign w:val="baseline"/>
                <w:lang w:val="en-US" w:eastAsia="zh-CN"/>
              </w:rPr>
              <w:t>同时满足：Y</w:t>
            </w:r>
            <w:r>
              <w:rPr>
                <w:rFonts w:hint="default" w:ascii="Times New Roman" w:hAnsi="Times New Roman" w:eastAsia="宋体" w:cs="Times New Roman"/>
                <w:b w:val="0"/>
                <w:bCs w:val="0"/>
                <w:i w:val="0"/>
                <w:iCs w:val="0"/>
                <w:color w:val="auto"/>
                <w:sz w:val="21"/>
                <w:szCs w:val="21"/>
                <w:u w:val="single"/>
                <w:vertAlign w:val="subscript"/>
                <w:lang w:val="en-US" w:eastAsia="zh-CN"/>
              </w:rPr>
              <w:t>Ⅰ</w:t>
            </w:r>
            <w:r>
              <w:rPr>
                <w:rFonts w:hint="default" w:ascii="Times New Roman" w:hAnsi="Times New Roman" w:eastAsia="宋体" w:cs="Times New Roman"/>
                <w:b w:val="0"/>
                <w:bCs w:val="0"/>
                <w:i w:val="0"/>
                <w:iCs w:val="0"/>
                <w:color w:val="auto"/>
                <w:sz w:val="21"/>
                <w:szCs w:val="21"/>
                <w:u w:val="single"/>
                <w:vertAlign w:val="baseline"/>
                <w:lang w:val="en-US" w:eastAsia="zh-CN"/>
              </w:rPr>
              <w:t>≥85；限定性指标全部满足Ⅰ级基准值要求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i w:val="0"/>
                <w:iCs w:val="0"/>
                <w:color w:val="auto"/>
                <w:sz w:val="21"/>
                <w:szCs w:val="21"/>
                <w:u w:val="single"/>
                <w:vertAlign w:val="baseline"/>
                <w:lang w:val="en-US" w:eastAsia="zh-CN"/>
              </w:rPr>
            </w:pPr>
            <w:r>
              <w:rPr>
                <w:rFonts w:hint="default" w:ascii="Times New Roman" w:hAnsi="Times New Roman" w:eastAsia="宋体" w:cs="Times New Roman"/>
                <w:b w:val="0"/>
                <w:bCs w:val="0"/>
                <w:i w:val="0"/>
                <w:iCs w:val="0"/>
                <w:color w:val="auto"/>
                <w:sz w:val="21"/>
                <w:szCs w:val="21"/>
                <w:u w:val="single"/>
                <w:vertAlign w:val="baseline"/>
                <w:lang w:val="en-US" w:eastAsia="zh-CN"/>
              </w:rPr>
              <w:t>Ⅱ级（国内清洁生产先进水平）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i w:val="0"/>
                <w:iCs w:val="0"/>
                <w:color w:val="auto"/>
                <w:sz w:val="21"/>
                <w:szCs w:val="21"/>
                <w:u w:val="single"/>
                <w:vertAlign w:val="baseline"/>
                <w:lang w:val="en-US" w:eastAsia="zh-CN"/>
              </w:rPr>
            </w:pPr>
            <w:r>
              <w:rPr>
                <w:rFonts w:hint="default" w:ascii="Times New Roman" w:hAnsi="Times New Roman" w:eastAsia="宋体" w:cs="Times New Roman"/>
                <w:b w:val="0"/>
                <w:bCs w:val="0"/>
                <w:i w:val="0"/>
                <w:iCs w:val="0"/>
                <w:color w:val="auto"/>
                <w:sz w:val="21"/>
                <w:szCs w:val="21"/>
                <w:u w:val="single"/>
                <w:vertAlign w:val="baseline"/>
                <w:lang w:val="en-US" w:eastAsia="zh-CN"/>
              </w:rPr>
              <w:t>同时满足：Y</w:t>
            </w:r>
            <w:r>
              <w:rPr>
                <w:rFonts w:hint="default" w:ascii="Times New Roman" w:hAnsi="Times New Roman" w:eastAsia="宋体" w:cs="Times New Roman"/>
                <w:b w:val="0"/>
                <w:bCs w:val="0"/>
                <w:i w:val="0"/>
                <w:iCs w:val="0"/>
                <w:color w:val="auto"/>
                <w:sz w:val="21"/>
                <w:szCs w:val="21"/>
                <w:u w:val="single"/>
                <w:vertAlign w:val="subscript"/>
                <w:lang w:val="en-US" w:eastAsia="zh-CN"/>
              </w:rPr>
              <w:t>Ⅱ</w:t>
            </w:r>
            <w:r>
              <w:rPr>
                <w:rFonts w:hint="default" w:ascii="Times New Roman" w:hAnsi="Times New Roman" w:eastAsia="宋体" w:cs="Times New Roman"/>
                <w:b w:val="0"/>
                <w:bCs w:val="0"/>
                <w:i w:val="0"/>
                <w:iCs w:val="0"/>
                <w:color w:val="auto"/>
                <w:sz w:val="21"/>
                <w:szCs w:val="21"/>
                <w:u w:val="single"/>
                <w:vertAlign w:val="baseline"/>
                <w:lang w:val="en-US" w:eastAsia="zh-CN"/>
              </w:rPr>
              <w:t>≥85；限定性指标全部满足Ⅱ级基准值要求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i w:val="0"/>
                <w:iCs w:val="0"/>
                <w:color w:val="auto"/>
                <w:sz w:val="21"/>
                <w:szCs w:val="21"/>
                <w:u w:val="single"/>
                <w:vertAlign w:val="baseline"/>
                <w:lang w:val="en-US" w:eastAsia="zh-CN"/>
              </w:rPr>
            </w:pPr>
            <w:r>
              <w:rPr>
                <w:rFonts w:hint="default" w:ascii="Times New Roman" w:hAnsi="Times New Roman" w:eastAsia="宋体" w:cs="Times New Roman"/>
                <w:b w:val="0"/>
                <w:bCs w:val="0"/>
                <w:i w:val="0"/>
                <w:iCs w:val="0"/>
                <w:color w:val="auto"/>
                <w:sz w:val="21"/>
                <w:szCs w:val="21"/>
                <w:u w:val="single"/>
                <w:vertAlign w:val="baseline"/>
                <w:lang w:val="en-US" w:eastAsia="zh-CN"/>
              </w:rPr>
              <w:t>Ⅲ级（国内清洁生产一般水平）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i w:val="0"/>
                <w:iCs w:val="0"/>
                <w:color w:val="auto"/>
                <w:sz w:val="21"/>
                <w:szCs w:val="21"/>
                <w:u w:val="single"/>
                <w:vertAlign w:val="baseline"/>
                <w:lang w:val="en-US" w:eastAsia="zh-CN"/>
              </w:rPr>
            </w:pPr>
            <w:r>
              <w:rPr>
                <w:rFonts w:hint="default" w:ascii="Times New Roman" w:hAnsi="Times New Roman" w:eastAsia="宋体" w:cs="Times New Roman"/>
                <w:b w:val="0"/>
                <w:bCs w:val="0"/>
                <w:i w:val="0"/>
                <w:iCs w:val="0"/>
                <w:color w:val="auto"/>
                <w:sz w:val="21"/>
                <w:szCs w:val="21"/>
                <w:u w:val="single"/>
                <w:vertAlign w:val="baseline"/>
                <w:lang w:val="en-US" w:eastAsia="zh-CN"/>
              </w:rPr>
              <w:t>Y</w:t>
            </w:r>
            <w:r>
              <w:rPr>
                <w:rFonts w:hint="default" w:ascii="Times New Roman" w:hAnsi="Times New Roman" w:eastAsia="宋体" w:cs="Times New Roman"/>
                <w:b w:val="0"/>
                <w:bCs w:val="0"/>
                <w:i w:val="0"/>
                <w:iCs w:val="0"/>
                <w:color w:val="auto"/>
                <w:sz w:val="21"/>
                <w:szCs w:val="21"/>
                <w:u w:val="single"/>
                <w:vertAlign w:val="subscript"/>
                <w:lang w:val="en-US" w:eastAsia="zh-CN"/>
              </w:rPr>
              <w:t>Ⅲ</w:t>
            </w:r>
            <w:r>
              <w:rPr>
                <w:rFonts w:hint="default" w:ascii="Times New Roman" w:hAnsi="Times New Roman" w:eastAsia="宋体" w:cs="Times New Roman"/>
                <w:b w:val="0"/>
                <w:bCs w:val="0"/>
                <w:i w:val="0"/>
                <w:iCs w:val="0"/>
                <w:color w:val="auto"/>
                <w:sz w:val="21"/>
                <w:szCs w:val="21"/>
                <w:u w:val="single"/>
                <w:vertAlign w:val="baseline"/>
                <w:lang w:val="en-US" w:eastAsia="zh-CN"/>
              </w:rPr>
              <w:t>=100</w:t>
            </w:r>
          </w:p>
        </w:tc>
      </w:tr>
    </w:tbl>
    <w:p>
      <w:pPr>
        <w:spacing w:line="360" w:lineRule="auto"/>
        <w:ind w:firstLine="480" w:firstLineChars="200"/>
        <w:jc w:val="both"/>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根据电镀行业清洁生产评价体系中相应指标权重加权核算，项目现状评价指数Y</w:t>
      </w:r>
      <w:r>
        <w:rPr>
          <w:rFonts w:hint="default" w:ascii="Times New Roman" w:hAnsi="Times New Roman" w:cs="Times New Roman"/>
          <w:b w:val="0"/>
          <w:bCs w:val="0"/>
          <w:i w:val="0"/>
          <w:iCs w:val="0"/>
          <w:color w:val="auto"/>
          <w:sz w:val="24"/>
          <w:szCs w:val="24"/>
          <w:u w:val="single"/>
          <w:vertAlign w:val="subscript"/>
          <w:lang w:val="en-US" w:eastAsia="zh-CN"/>
        </w:rPr>
        <w:t>Ⅰ</w:t>
      </w:r>
      <w:r>
        <w:rPr>
          <w:rFonts w:hint="default" w:ascii="Times New Roman" w:hAnsi="Times New Roman" w:cs="Times New Roman"/>
          <w:b w:val="0"/>
          <w:bCs w:val="0"/>
          <w:i w:val="0"/>
          <w:iCs w:val="0"/>
          <w:color w:val="auto"/>
          <w:sz w:val="24"/>
          <w:szCs w:val="24"/>
          <w:u w:val="single"/>
          <w:lang w:val="en-US" w:eastAsia="zh-CN"/>
        </w:rPr>
        <w:t>=</w:t>
      </w:r>
      <w:r>
        <w:rPr>
          <w:rFonts w:hint="eastAsia" w:ascii="Times New Roman" w:hAnsi="Times New Roman" w:cs="Times New Roman"/>
          <w:b w:val="0"/>
          <w:bCs w:val="0"/>
          <w:i w:val="0"/>
          <w:iCs w:val="0"/>
          <w:color w:val="auto"/>
          <w:sz w:val="24"/>
          <w:szCs w:val="24"/>
          <w:highlight w:val="none"/>
          <w:u w:val="single"/>
          <w:lang w:val="en-US" w:eastAsia="zh-CN"/>
        </w:rPr>
        <w:t>57.55</w:t>
      </w:r>
      <w:r>
        <w:rPr>
          <w:rFonts w:hint="default" w:ascii="Times New Roman" w:hAnsi="Times New Roman" w:cs="Times New Roman"/>
          <w:b w:val="0"/>
          <w:bCs w:val="0"/>
          <w:i w:val="0"/>
          <w:iCs w:val="0"/>
          <w:color w:val="auto"/>
          <w:sz w:val="24"/>
          <w:szCs w:val="24"/>
          <w:u w:val="single"/>
          <w:lang w:val="en-US" w:eastAsia="zh-CN"/>
        </w:rPr>
        <w:t>；Y</w:t>
      </w:r>
      <w:r>
        <w:rPr>
          <w:rFonts w:hint="default" w:ascii="Times New Roman" w:hAnsi="Times New Roman" w:cs="Times New Roman"/>
          <w:b w:val="0"/>
          <w:bCs w:val="0"/>
          <w:i w:val="0"/>
          <w:iCs w:val="0"/>
          <w:color w:val="auto"/>
          <w:sz w:val="24"/>
          <w:szCs w:val="24"/>
          <w:u w:val="single"/>
          <w:vertAlign w:val="subscript"/>
          <w:lang w:val="en-US" w:eastAsia="zh-CN"/>
        </w:rPr>
        <w:t>Ⅱ</w:t>
      </w:r>
      <w:r>
        <w:rPr>
          <w:rFonts w:hint="default" w:ascii="Times New Roman" w:hAnsi="Times New Roman" w:cs="Times New Roman"/>
          <w:b w:val="0"/>
          <w:bCs w:val="0"/>
          <w:i w:val="0"/>
          <w:iCs w:val="0"/>
          <w:color w:val="auto"/>
          <w:sz w:val="24"/>
          <w:szCs w:val="24"/>
          <w:u w:val="single"/>
          <w:lang w:val="en-US" w:eastAsia="zh-CN"/>
        </w:rPr>
        <w:t>=</w:t>
      </w:r>
      <w:r>
        <w:rPr>
          <w:rFonts w:hint="eastAsia" w:ascii="Times New Roman" w:hAnsi="Times New Roman" w:cs="Times New Roman"/>
          <w:b w:val="0"/>
          <w:bCs w:val="0"/>
          <w:i w:val="0"/>
          <w:iCs w:val="0"/>
          <w:color w:val="auto"/>
          <w:sz w:val="24"/>
          <w:szCs w:val="24"/>
          <w:u w:val="single"/>
          <w:lang w:val="en-US" w:eastAsia="zh-CN"/>
        </w:rPr>
        <w:t>80.1</w:t>
      </w:r>
      <w:r>
        <w:rPr>
          <w:rFonts w:hint="default" w:ascii="Times New Roman" w:hAnsi="Times New Roman" w:cs="Times New Roman"/>
          <w:b w:val="0"/>
          <w:bCs w:val="0"/>
          <w:i w:val="0"/>
          <w:iCs w:val="0"/>
          <w:color w:val="auto"/>
          <w:sz w:val="24"/>
          <w:szCs w:val="24"/>
          <w:u w:val="single"/>
          <w:lang w:val="en-US" w:eastAsia="zh-CN"/>
        </w:rPr>
        <w:t>；Y</w:t>
      </w:r>
      <w:r>
        <w:rPr>
          <w:rFonts w:hint="default" w:ascii="Times New Roman" w:hAnsi="Times New Roman" w:cs="Times New Roman"/>
          <w:b w:val="0"/>
          <w:bCs w:val="0"/>
          <w:i w:val="0"/>
          <w:iCs w:val="0"/>
          <w:color w:val="auto"/>
          <w:sz w:val="24"/>
          <w:szCs w:val="24"/>
          <w:u w:val="single"/>
          <w:vertAlign w:val="subscript"/>
          <w:lang w:val="en-US" w:eastAsia="zh-CN"/>
        </w:rPr>
        <w:t>Ⅲ</w:t>
      </w:r>
      <w:r>
        <w:rPr>
          <w:rFonts w:hint="default" w:ascii="Times New Roman" w:hAnsi="Times New Roman" w:cs="Times New Roman"/>
          <w:b w:val="0"/>
          <w:bCs w:val="0"/>
          <w:i w:val="0"/>
          <w:iCs w:val="0"/>
          <w:color w:val="auto"/>
          <w:sz w:val="24"/>
          <w:szCs w:val="24"/>
          <w:u w:val="single"/>
          <w:lang w:val="en-US" w:eastAsia="zh-CN"/>
        </w:rPr>
        <w:t>=100。其中限定性指标全部满足Ⅱ级基准值要求。</w:t>
      </w:r>
    </w:p>
    <w:p>
      <w:pPr>
        <w:spacing w:line="360" w:lineRule="auto"/>
        <w:ind w:firstLine="480" w:firstLineChars="200"/>
        <w:jc w:val="both"/>
        <w:rPr>
          <w:rFonts w:hint="default" w:ascii="Times New Roman" w:hAnsi="Times New Roman" w:cs="Times New Roman"/>
          <w:b w:val="0"/>
          <w:bCs w:val="0"/>
          <w:i w:val="0"/>
          <w:iCs w:val="0"/>
          <w:color w:val="auto"/>
          <w:sz w:val="24"/>
          <w:szCs w:val="24"/>
          <w:u w:val="single"/>
          <w:lang w:val="en-US" w:eastAsia="zh-CN"/>
        </w:rPr>
      </w:pPr>
      <w:r>
        <w:rPr>
          <w:rFonts w:hint="default" w:ascii="Times New Roman" w:hAnsi="Times New Roman" w:cs="Times New Roman"/>
          <w:b w:val="0"/>
          <w:bCs w:val="0"/>
          <w:i w:val="0"/>
          <w:iCs w:val="0"/>
          <w:color w:val="auto"/>
          <w:sz w:val="24"/>
          <w:szCs w:val="24"/>
          <w:u w:val="single"/>
          <w:lang w:val="en-US" w:eastAsia="zh-CN"/>
        </w:rPr>
        <w:t>经对比分析，本项目Y</w:t>
      </w:r>
      <w:r>
        <w:rPr>
          <w:rFonts w:hint="default" w:ascii="Times New Roman" w:hAnsi="Times New Roman" w:cs="Times New Roman"/>
          <w:b w:val="0"/>
          <w:bCs w:val="0"/>
          <w:i w:val="0"/>
          <w:iCs w:val="0"/>
          <w:color w:val="auto"/>
          <w:sz w:val="24"/>
          <w:szCs w:val="24"/>
          <w:u w:val="single"/>
          <w:vertAlign w:val="subscript"/>
          <w:lang w:val="en-US" w:eastAsia="zh-CN"/>
        </w:rPr>
        <w:t>Ⅲ</w:t>
      </w:r>
      <w:r>
        <w:rPr>
          <w:rFonts w:hint="default" w:ascii="Times New Roman" w:hAnsi="Times New Roman" w:cs="Times New Roman"/>
          <w:b w:val="0"/>
          <w:bCs w:val="0"/>
          <w:i w:val="0"/>
          <w:iCs w:val="0"/>
          <w:color w:val="auto"/>
          <w:sz w:val="24"/>
          <w:szCs w:val="24"/>
          <w:u w:val="single"/>
          <w:lang w:val="en-US" w:eastAsia="zh-CN"/>
        </w:rPr>
        <w:t>=100</w:t>
      </w:r>
      <w:r>
        <w:rPr>
          <w:rFonts w:hint="default" w:ascii="Times New Roman" w:hAnsi="Times New Roman" w:cs="Times New Roman"/>
          <w:b w:val="0"/>
          <w:bCs w:val="0"/>
          <w:i w:val="0"/>
          <w:iCs w:val="0"/>
          <w:color w:val="auto"/>
          <w:sz w:val="24"/>
          <w:szCs w:val="24"/>
          <w:u w:val="single"/>
          <w:vertAlign w:val="baseline"/>
          <w:lang w:val="en-US" w:eastAsia="zh-CN"/>
        </w:rPr>
        <w:t>；</w:t>
      </w:r>
      <w:r>
        <w:rPr>
          <w:rFonts w:hint="default" w:ascii="Times New Roman" w:hAnsi="Times New Roman" w:cs="Times New Roman"/>
          <w:b w:val="0"/>
          <w:bCs w:val="0"/>
          <w:i w:val="0"/>
          <w:iCs w:val="0"/>
          <w:color w:val="auto"/>
          <w:sz w:val="24"/>
          <w:szCs w:val="24"/>
          <w:u w:val="single"/>
          <w:lang w:val="en-US" w:eastAsia="zh-CN"/>
        </w:rPr>
        <w:t>因此，</w:t>
      </w:r>
      <w:r>
        <w:rPr>
          <w:rFonts w:hint="eastAsia" w:ascii="Times New Roman" w:hAnsi="Times New Roman" w:cs="Times New Roman"/>
          <w:b w:val="0"/>
          <w:bCs w:val="0"/>
          <w:i w:val="0"/>
          <w:iCs w:val="0"/>
          <w:color w:val="auto"/>
          <w:sz w:val="24"/>
          <w:szCs w:val="24"/>
          <w:u w:val="single"/>
          <w:lang w:val="en-US" w:eastAsia="zh-CN"/>
        </w:rPr>
        <w:t>清洁生产方案实施后</w:t>
      </w:r>
      <w:r>
        <w:rPr>
          <w:rFonts w:hint="default" w:ascii="Times New Roman" w:hAnsi="Times New Roman" w:cs="Times New Roman"/>
          <w:b w:val="0"/>
          <w:bCs w:val="0"/>
          <w:i w:val="0"/>
          <w:iCs w:val="0"/>
          <w:color w:val="auto"/>
          <w:sz w:val="24"/>
          <w:szCs w:val="24"/>
          <w:u w:val="single"/>
          <w:lang w:val="en-US" w:eastAsia="zh-CN"/>
        </w:rPr>
        <w:t>本项目清洁生产水平达到了国内清洁生产一般水平，在后续的持续清洁生产过程中，企业应进一步优化废气、废水的处理工艺，提高清洗水利用效率，保持现有清洁水平的基础上争优抢先。</w:t>
      </w:r>
    </w:p>
    <w:p>
      <w:pPr>
        <w:spacing w:line="360" w:lineRule="auto"/>
        <w:jc w:val="both"/>
        <w:rPr>
          <w:rFonts w:hint="default" w:ascii="Times New Roman" w:hAnsi="Times New Roman" w:cs="Times New Roman"/>
          <w:b w:val="0"/>
          <w:bCs w:val="0"/>
          <w:color w:val="auto"/>
          <w:sz w:val="24"/>
          <w:szCs w:val="24"/>
          <w:u w:val="single"/>
          <w:lang w:val="en-US" w:eastAsia="zh-CN"/>
        </w:rPr>
      </w:pPr>
      <w:r>
        <w:rPr>
          <w:rStyle w:val="27"/>
          <w:rFonts w:hint="default" w:ascii="Times New Roman" w:hAnsi="Times New Roman" w:cs="Times New Roman"/>
          <w:u w:val="single"/>
          <w:lang w:val="en-US" w:eastAsia="zh-CN"/>
        </w:rPr>
        <w:t>7.</w:t>
      </w:r>
      <w:r>
        <w:rPr>
          <w:rStyle w:val="27"/>
          <w:rFonts w:hint="eastAsia" w:ascii="Times New Roman" w:hAnsi="Times New Roman" w:cs="Times New Roman"/>
          <w:u w:val="single"/>
          <w:lang w:val="en-US" w:eastAsia="zh-CN"/>
        </w:rPr>
        <w:t>7</w:t>
      </w:r>
      <w:r>
        <w:rPr>
          <w:rStyle w:val="27"/>
          <w:rFonts w:hint="default" w:ascii="Times New Roman" w:hAnsi="Times New Roman" w:cs="Times New Roman"/>
          <w:u w:val="single"/>
          <w:lang w:val="en-US" w:eastAsia="zh-CN"/>
        </w:rPr>
        <w:t xml:space="preserve"> 企业落实行业专家指导意见的情况</w:t>
      </w:r>
      <w:r>
        <w:rPr>
          <w:rFonts w:hint="default" w:ascii="Times New Roman" w:hAnsi="Times New Roman" w:cs="Times New Roman" w:eastAsiaTheme="minorEastAsia"/>
          <w:b/>
          <w:kern w:val="2"/>
          <w:sz w:val="32"/>
          <w:szCs w:val="24"/>
          <w:u w:val="single"/>
          <w:lang w:val="en-US" w:eastAsia="zh-CN" w:bidi="ar-SA"/>
        </w:rPr>
        <w:br w:type="textWrapping"/>
      </w:r>
      <w:r>
        <w:rPr>
          <w:rFonts w:hint="default" w:ascii="Times New Roman" w:hAnsi="Times New Roman" w:cs="Times New Roman"/>
          <w:b/>
          <w:kern w:val="2"/>
          <w:sz w:val="32"/>
          <w:szCs w:val="24"/>
          <w:u w:val="none"/>
          <w:lang w:val="en-US" w:eastAsia="zh-CN" w:bidi="ar-SA"/>
        </w:rPr>
        <w:t xml:space="preserve">   </w:t>
      </w:r>
      <w:r>
        <w:rPr>
          <w:rFonts w:hint="default" w:ascii="Times New Roman" w:hAnsi="Times New Roman" w:cs="Times New Roman"/>
          <w:b w:val="0"/>
          <w:bCs w:val="0"/>
          <w:color w:val="auto"/>
          <w:sz w:val="24"/>
          <w:szCs w:val="24"/>
          <w:u w:val="single"/>
          <w:lang w:val="en-US" w:eastAsia="zh-CN"/>
        </w:rPr>
        <w:t>2021年10月21日，河南睿嘉环保科技有限责任公司和企业邀请李加勇高级工程师对新乡市俊业新材料有限公司进行了指导。首先对公司进行了现场考核，生产设备和工艺状况基本良好，和企业、咨询单位进行了交流和现场考察，根据企业实际生产情况，提出以下建议：</w:t>
      </w:r>
    </w:p>
    <w:p>
      <w:pPr>
        <w:spacing w:line="360" w:lineRule="auto"/>
        <w:ind w:firstLine="480" w:firstLineChars="200"/>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1、化学药剂投加时实行精确控制，减少原辅材料的浪费。</w:t>
      </w:r>
    </w:p>
    <w:p>
      <w:pPr>
        <w:spacing w:line="360" w:lineRule="auto"/>
        <w:ind w:firstLine="480" w:firstLineChars="200"/>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2、车间顶部集气装置更换为侧吸集气装置，增加废气收集能力。</w:t>
      </w:r>
    </w:p>
    <w:p>
      <w:pPr>
        <w:spacing w:line="360" w:lineRule="auto"/>
        <w:ind w:firstLine="480" w:firstLineChars="200"/>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3、安装排风扇，增强车间通风。</w:t>
      </w:r>
    </w:p>
    <w:p>
      <w:pPr>
        <w:spacing w:line="360" w:lineRule="auto"/>
        <w:ind w:firstLine="480" w:firstLineChars="200"/>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4、酸雾吸收塔安装自动投药装置，实现自动化。</w:t>
      </w:r>
    </w:p>
    <w:p>
      <w:pPr>
        <w:spacing w:line="360" w:lineRule="auto"/>
        <w:ind w:firstLine="480" w:firstLineChars="200"/>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5、增设生产记录手册，完善过程控制。</w:t>
      </w:r>
    </w:p>
    <w:p>
      <w:pPr>
        <w:spacing w:line="360" w:lineRule="auto"/>
        <w:ind w:firstLine="480" w:firstLineChars="200"/>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截止目前（2022年3月），工程师提出的建议均已逐项落实到位，通过行业专家的指导，使本轮审核过程更加快捷有效，起到了节能、降耗、减污和增效的目标</w:t>
      </w:r>
      <w:r>
        <w:rPr>
          <w:rFonts w:hint="eastAsia" w:ascii="Times New Roman" w:hAnsi="Times New Roman" w:cs="Times New Roman"/>
          <w:b w:val="0"/>
          <w:bCs w:val="0"/>
          <w:color w:val="auto"/>
          <w:sz w:val="24"/>
          <w:szCs w:val="24"/>
          <w:u w:val="single"/>
          <w:lang w:val="en-US" w:eastAsia="zh-CN"/>
        </w:rPr>
        <w:t>。</w:t>
      </w:r>
    </w:p>
    <w:p>
      <w:pPr>
        <w:spacing w:line="360" w:lineRule="auto"/>
        <w:jc w:val="both"/>
        <w:rPr>
          <w:rFonts w:hint="default" w:ascii="Times New Roman" w:hAnsi="Times New Roman" w:cs="Times New Roman"/>
          <w:b w:val="0"/>
          <w:bCs w:val="0"/>
          <w:color w:val="auto"/>
          <w:sz w:val="24"/>
          <w:szCs w:val="24"/>
          <w:highlight w:val="none"/>
          <w:u w:val="single"/>
          <w:lang w:val="en-US" w:eastAsia="zh-CN"/>
        </w:rPr>
      </w:pPr>
      <w:r>
        <w:rPr>
          <w:rStyle w:val="27"/>
          <w:rFonts w:hint="default" w:ascii="Times New Roman" w:hAnsi="Times New Roman" w:eastAsia="宋体" w:cs="Times New Roman"/>
          <w:highlight w:val="none"/>
          <w:u w:val="single"/>
          <w:lang w:val="en-US" w:eastAsia="zh-CN"/>
        </w:rPr>
        <w:t>7.</w:t>
      </w:r>
      <w:r>
        <w:rPr>
          <w:rStyle w:val="27"/>
          <w:rFonts w:hint="eastAsia" w:ascii="Times New Roman" w:hAnsi="Times New Roman" w:eastAsia="宋体" w:cs="Times New Roman"/>
          <w:highlight w:val="none"/>
          <w:u w:val="single"/>
          <w:lang w:val="en-US" w:eastAsia="zh-CN"/>
        </w:rPr>
        <w:t>8</w:t>
      </w:r>
      <w:r>
        <w:rPr>
          <w:rStyle w:val="27"/>
          <w:rFonts w:hint="default" w:ascii="Times New Roman" w:hAnsi="Times New Roman" w:eastAsia="宋体" w:cs="Times New Roman"/>
          <w:highlight w:val="none"/>
          <w:u w:val="single"/>
          <w:lang w:val="en-US" w:eastAsia="zh-CN"/>
        </w:rPr>
        <w:t>企业落实中期评估意见的情况</w:t>
      </w:r>
      <w:r>
        <w:rPr>
          <w:rStyle w:val="27"/>
          <w:rFonts w:hint="default" w:ascii="Times New Roman" w:hAnsi="Times New Roman" w:eastAsia="宋体" w:cs="Times New Roman"/>
          <w:highlight w:val="none"/>
          <w:u w:val="single"/>
          <w:lang w:val="en-US" w:eastAsia="zh-CN"/>
        </w:rPr>
        <w:br w:type="textWrapping"/>
      </w:r>
      <w:r>
        <w:rPr>
          <w:rStyle w:val="27"/>
          <w:rFonts w:hint="default" w:ascii="Times New Roman" w:hAnsi="Times New Roman" w:eastAsia="宋体" w:cs="Times New Roman"/>
          <w:highlight w:val="none"/>
          <w:u w:val="none"/>
          <w:lang w:val="en-US" w:eastAsia="zh-CN"/>
        </w:rPr>
        <w:t xml:space="preserve">   </w:t>
      </w:r>
      <w:r>
        <w:rPr>
          <w:rFonts w:hint="eastAsia" w:ascii="Times New Roman" w:hAnsi="Times New Roman" w:cs="Times New Roman"/>
          <w:b w:val="0"/>
          <w:bCs w:val="0"/>
          <w:color w:val="auto"/>
          <w:sz w:val="24"/>
          <w:szCs w:val="24"/>
          <w:highlight w:val="none"/>
          <w:u w:val="single"/>
          <w:lang w:val="en-US" w:eastAsia="zh-CN"/>
        </w:rPr>
        <w:t>新乡市生态环境局</w:t>
      </w:r>
      <w:r>
        <w:rPr>
          <w:rFonts w:hint="default" w:ascii="Times New Roman" w:hAnsi="Times New Roman" w:cs="Times New Roman"/>
          <w:b w:val="0"/>
          <w:bCs w:val="0"/>
          <w:color w:val="auto"/>
          <w:sz w:val="24"/>
          <w:szCs w:val="24"/>
          <w:highlight w:val="none"/>
          <w:u w:val="single"/>
          <w:lang w:val="en-US" w:eastAsia="zh-CN"/>
        </w:rPr>
        <w:t>于2021年12月</w:t>
      </w:r>
      <w:r>
        <w:rPr>
          <w:rFonts w:hint="eastAsia" w:ascii="Times New Roman" w:hAnsi="Times New Roman" w:cs="Times New Roman"/>
          <w:b w:val="0"/>
          <w:bCs w:val="0"/>
          <w:color w:val="auto"/>
          <w:sz w:val="24"/>
          <w:szCs w:val="24"/>
          <w:highlight w:val="none"/>
          <w:u w:val="single"/>
          <w:lang w:val="en-US" w:eastAsia="zh-CN"/>
        </w:rPr>
        <w:t>21</w:t>
      </w:r>
      <w:r>
        <w:rPr>
          <w:rFonts w:hint="default" w:ascii="Times New Roman" w:hAnsi="Times New Roman" w:cs="Times New Roman"/>
          <w:b w:val="0"/>
          <w:bCs w:val="0"/>
          <w:color w:val="auto"/>
          <w:sz w:val="24"/>
          <w:szCs w:val="24"/>
          <w:highlight w:val="none"/>
          <w:u w:val="single"/>
          <w:lang w:val="en-US" w:eastAsia="zh-CN"/>
        </w:rPr>
        <w:t>日在新乡市牧野区主持召开了</w:t>
      </w:r>
      <w:r>
        <w:rPr>
          <w:rFonts w:hint="eastAsia" w:ascii="Times New Roman" w:hAnsi="Times New Roman" w:cs="Times New Roman"/>
          <w:b w:val="0"/>
          <w:bCs w:val="0"/>
          <w:color w:val="auto"/>
          <w:sz w:val="24"/>
          <w:szCs w:val="24"/>
          <w:highlight w:val="none"/>
          <w:u w:val="single"/>
          <w:lang w:val="en-US" w:eastAsia="zh-CN"/>
        </w:rPr>
        <w:t>新乡市俊业新材料有限公司</w:t>
      </w:r>
      <w:r>
        <w:rPr>
          <w:rFonts w:hint="default" w:ascii="Times New Roman" w:hAnsi="Times New Roman" w:cs="Times New Roman"/>
          <w:b w:val="0"/>
          <w:bCs w:val="0"/>
          <w:color w:val="auto"/>
          <w:sz w:val="24"/>
          <w:szCs w:val="24"/>
          <w:highlight w:val="none"/>
          <w:u w:val="single"/>
          <w:lang w:val="en-US" w:eastAsia="zh-CN"/>
        </w:rPr>
        <w:t>清洁生产审核评估会，与会人员现场检查了清洁生产的实施情况，听取了</w:t>
      </w:r>
      <w:r>
        <w:rPr>
          <w:rFonts w:hint="eastAsia" w:ascii="Times New Roman" w:hAnsi="Times New Roman" w:cs="Times New Roman"/>
          <w:b w:val="0"/>
          <w:bCs w:val="0"/>
          <w:color w:val="auto"/>
          <w:sz w:val="24"/>
          <w:szCs w:val="24"/>
          <w:highlight w:val="none"/>
          <w:u w:val="single"/>
          <w:lang w:val="en-US" w:eastAsia="zh-CN"/>
        </w:rPr>
        <w:t>新乡市俊业新材料有限公司</w:t>
      </w:r>
      <w:r>
        <w:rPr>
          <w:rFonts w:hint="default" w:ascii="Times New Roman" w:hAnsi="Times New Roman" w:cs="Times New Roman"/>
          <w:b w:val="0"/>
          <w:bCs w:val="0"/>
          <w:color w:val="auto"/>
          <w:sz w:val="24"/>
          <w:szCs w:val="24"/>
          <w:highlight w:val="none"/>
          <w:u w:val="single"/>
          <w:lang w:val="en-US" w:eastAsia="zh-CN"/>
        </w:rPr>
        <w:t>清洁生产相关工作及清洁生产审核报告的介绍，经讨论，提出部分修改建议：</w:t>
      </w:r>
      <w:r>
        <w:rPr>
          <w:rFonts w:hint="default" w:ascii="Times New Roman" w:hAnsi="Times New Roman" w:cs="Times New Roman"/>
          <w:b w:val="0"/>
          <w:bCs w:val="0"/>
          <w:color w:val="auto"/>
          <w:sz w:val="24"/>
          <w:szCs w:val="24"/>
          <w:highlight w:val="none"/>
          <w:u w:val="single"/>
          <w:lang w:val="en-US" w:eastAsia="zh-CN"/>
        </w:rPr>
        <w:br w:type="textWrapping"/>
      </w:r>
      <w:r>
        <w:rPr>
          <w:rFonts w:hint="default" w:ascii="Times New Roman" w:hAnsi="Times New Roman" w:cs="Times New Roman"/>
          <w:b w:val="0"/>
          <w:bCs w:val="0"/>
          <w:color w:val="auto"/>
          <w:sz w:val="24"/>
          <w:szCs w:val="24"/>
          <w:highlight w:val="none"/>
          <w:u w:val="single"/>
          <w:lang w:val="en-US" w:eastAsia="zh-CN"/>
        </w:rPr>
        <w:t xml:space="preserve">    1</w:t>
      </w:r>
      <w:r>
        <w:rPr>
          <w:rFonts w:hint="eastAsia" w:ascii="Times New Roman" w:hAnsi="Times New Roman" w:cs="Times New Roman"/>
          <w:b w:val="0"/>
          <w:bCs w:val="0"/>
          <w:color w:val="auto"/>
          <w:sz w:val="24"/>
          <w:szCs w:val="24"/>
          <w:highlight w:val="none"/>
          <w:u w:val="single"/>
          <w:lang w:val="en-US" w:eastAsia="zh-CN"/>
        </w:rPr>
        <w:t>、</w:t>
      </w:r>
      <w:r>
        <w:rPr>
          <w:rFonts w:hint="default" w:ascii="Times New Roman" w:hAnsi="Times New Roman" w:cs="Times New Roman"/>
          <w:b w:val="0"/>
          <w:bCs w:val="0"/>
          <w:color w:val="auto"/>
          <w:sz w:val="24"/>
          <w:szCs w:val="24"/>
          <w:highlight w:val="none"/>
          <w:u w:val="single"/>
          <w:lang w:val="en-US" w:eastAsia="zh-CN"/>
        </w:rPr>
        <w:t>结合电镀行业清洁生产评价指标体系，确定审核前企业清洁生产水平。</w:t>
      </w:r>
    </w:p>
    <w:p>
      <w:pPr>
        <w:spacing w:line="360" w:lineRule="auto"/>
        <w:ind w:firstLine="480" w:firstLineChars="200"/>
        <w:jc w:val="both"/>
        <w:rPr>
          <w:rFonts w:hint="default" w:ascii="Times New Roman" w:hAnsi="Times New Roman" w:cs="Times New Roman"/>
          <w:b w:val="0"/>
          <w:bCs w:val="0"/>
          <w:color w:val="auto"/>
          <w:sz w:val="24"/>
          <w:szCs w:val="24"/>
          <w:highlight w:val="none"/>
          <w:u w:val="single"/>
          <w:lang w:val="en-US" w:eastAsia="zh-CN"/>
        </w:rPr>
      </w:pPr>
      <w:r>
        <w:rPr>
          <w:rFonts w:hint="default" w:ascii="Times New Roman" w:hAnsi="Times New Roman" w:cs="Times New Roman"/>
          <w:b w:val="0"/>
          <w:bCs w:val="0"/>
          <w:color w:val="auto"/>
          <w:sz w:val="24"/>
          <w:szCs w:val="24"/>
          <w:highlight w:val="none"/>
          <w:u w:val="single"/>
          <w:lang w:val="en-US" w:eastAsia="zh-CN"/>
        </w:rPr>
        <w:t>2</w:t>
      </w:r>
      <w:r>
        <w:rPr>
          <w:rFonts w:hint="eastAsia" w:ascii="Times New Roman" w:hAnsi="Times New Roman" w:cs="Times New Roman"/>
          <w:b w:val="0"/>
          <w:bCs w:val="0"/>
          <w:color w:val="auto"/>
          <w:sz w:val="24"/>
          <w:szCs w:val="24"/>
          <w:highlight w:val="none"/>
          <w:u w:val="single"/>
          <w:lang w:val="en-US" w:eastAsia="zh-CN"/>
        </w:rPr>
        <w:t>、</w:t>
      </w:r>
      <w:r>
        <w:rPr>
          <w:rFonts w:hint="default" w:ascii="Times New Roman" w:hAnsi="Times New Roman" w:cs="Times New Roman"/>
          <w:b w:val="0"/>
          <w:bCs w:val="0"/>
          <w:color w:val="auto"/>
          <w:sz w:val="24"/>
          <w:szCs w:val="24"/>
          <w:highlight w:val="none"/>
          <w:u w:val="single"/>
          <w:lang w:val="en-US" w:eastAsia="zh-CN"/>
        </w:rPr>
        <w:t>核实审核重点水平衡、物料平衡图</w:t>
      </w:r>
      <w:r>
        <w:rPr>
          <w:rFonts w:hint="eastAsia" w:ascii="Times New Roman" w:hAnsi="Times New Roman" w:cs="Times New Roman"/>
          <w:b w:val="0"/>
          <w:bCs w:val="0"/>
          <w:color w:val="auto"/>
          <w:sz w:val="24"/>
          <w:szCs w:val="24"/>
          <w:highlight w:val="none"/>
          <w:u w:val="single"/>
          <w:lang w:val="en-US" w:eastAsia="zh-CN"/>
        </w:rPr>
        <w:t>；</w:t>
      </w:r>
      <w:r>
        <w:rPr>
          <w:rFonts w:hint="default" w:ascii="Times New Roman" w:hAnsi="Times New Roman" w:cs="Times New Roman"/>
          <w:b w:val="0"/>
          <w:bCs w:val="0"/>
          <w:color w:val="auto"/>
          <w:sz w:val="24"/>
          <w:szCs w:val="24"/>
          <w:highlight w:val="none"/>
          <w:u w:val="single"/>
          <w:lang w:val="en-US" w:eastAsia="zh-CN"/>
        </w:rPr>
        <w:t>细化中高费方案的可行性及经济、效益分析。</w:t>
      </w:r>
    </w:p>
    <w:p>
      <w:pPr>
        <w:spacing w:line="360" w:lineRule="auto"/>
        <w:ind w:firstLine="480" w:firstLineChars="200"/>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highlight w:val="none"/>
          <w:u w:val="single"/>
          <w:lang w:val="en-US" w:eastAsia="zh-CN"/>
        </w:rPr>
        <w:t>3</w:t>
      </w:r>
      <w:r>
        <w:rPr>
          <w:rFonts w:hint="eastAsia" w:ascii="Times New Roman" w:hAnsi="Times New Roman" w:cs="Times New Roman"/>
          <w:b w:val="0"/>
          <w:bCs w:val="0"/>
          <w:color w:val="auto"/>
          <w:sz w:val="24"/>
          <w:szCs w:val="24"/>
          <w:highlight w:val="none"/>
          <w:u w:val="single"/>
          <w:lang w:val="en-US" w:eastAsia="zh-CN"/>
        </w:rPr>
        <w:t>、</w:t>
      </w:r>
      <w:r>
        <w:rPr>
          <w:rFonts w:hint="default" w:ascii="Times New Roman" w:hAnsi="Times New Roman" w:cs="Times New Roman"/>
          <w:b w:val="0"/>
          <w:bCs w:val="0"/>
          <w:color w:val="auto"/>
          <w:sz w:val="24"/>
          <w:szCs w:val="24"/>
          <w:highlight w:val="none"/>
          <w:u w:val="single"/>
          <w:lang w:val="en-US" w:eastAsia="zh-CN"/>
        </w:rPr>
        <w:t>补充行业专家意见及采纳情况，规范报告格式，完善附图附件</w:t>
      </w:r>
      <w:r>
        <w:rPr>
          <w:rFonts w:hint="eastAsia" w:ascii="Times New Roman" w:hAnsi="Times New Roman" w:cs="Times New Roman"/>
          <w:b w:val="0"/>
          <w:bCs w:val="0"/>
          <w:color w:val="auto"/>
          <w:sz w:val="24"/>
          <w:szCs w:val="24"/>
          <w:highlight w:val="none"/>
          <w:u w:val="single"/>
          <w:lang w:val="en-US" w:eastAsia="zh-CN"/>
        </w:rPr>
        <w:t>。</w:t>
      </w:r>
      <w:r>
        <w:rPr>
          <w:rFonts w:hint="default" w:ascii="Times New Roman" w:hAnsi="Times New Roman" w:cs="Times New Roman"/>
          <w:b w:val="0"/>
          <w:bCs w:val="0"/>
          <w:color w:val="auto"/>
          <w:sz w:val="24"/>
          <w:szCs w:val="24"/>
          <w:u w:val="single"/>
          <w:lang w:val="en-US" w:eastAsia="zh-CN"/>
        </w:rPr>
        <w:br w:type="textWrapping"/>
      </w:r>
      <w:r>
        <w:rPr>
          <w:rFonts w:hint="default" w:ascii="Times New Roman" w:hAnsi="Times New Roman" w:cs="Times New Roman"/>
          <w:b w:val="0"/>
          <w:bCs w:val="0"/>
          <w:color w:val="auto"/>
          <w:sz w:val="24"/>
          <w:szCs w:val="24"/>
          <w:u w:val="none"/>
          <w:lang w:val="en-US" w:eastAsia="zh-CN"/>
        </w:rPr>
        <w:t xml:space="preserve">    </w:t>
      </w:r>
      <w:r>
        <w:rPr>
          <w:rFonts w:hint="default" w:ascii="Times New Roman" w:hAnsi="Times New Roman" w:cs="Times New Roman"/>
          <w:b w:val="0"/>
          <w:bCs w:val="0"/>
          <w:color w:val="auto"/>
          <w:sz w:val="24"/>
          <w:szCs w:val="24"/>
          <w:u w:val="single"/>
          <w:lang w:val="en-US" w:eastAsia="zh-CN"/>
        </w:rPr>
        <w:t>中期审核完成后，本项目在进行清洁生产方案实施的同时也逐步落实了项目中期审核意见，具体修改内容如下：</w:t>
      </w:r>
    </w:p>
    <w:p>
      <w:pPr>
        <w:bidi w:val="0"/>
        <w:jc w:val="center"/>
        <w:rPr>
          <w:rFonts w:hint="default" w:ascii="Times New Roman" w:hAnsi="Times New Roman" w:eastAsia="宋体" w:cs="Times New Roman"/>
          <w:color w:val="000000"/>
          <w:kern w:val="2"/>
          <w:sz w:val="24"/>
          <w:szCs w:val="20"/>
          <w:u w:val="single"/>
          <w:lang w:val="en-US" w:eastAsia="zh-CN" w:bidi="ar"/>
        </w:rPr>
      </w:pPr>
      <w:r>
        <w:rPr>
          <w:rFonts w:hint="default" w:ascii="Times New Roman" w:hAnsi="Times New Roman" w:eastAsia="宋体" w:cs="Times New Roman"/>
          <w:color w:val="000000"/>
          <w:kern w:val="2"/>
          <w:sz w:val="24"/>
          <w:szCs w:val="20"/>
          <w:u w:val="single"/>
          <w:lang w:val="en-US" w:eastAsia="zh-CN" w:bidi="ar"/>
        </w:rPr>
        <w:t>表7-12  项目清洁生产实施方案中期审核意见修改情况一览表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3834"/>
        <w:gridCol w:w="34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2" w:type="dxa"/>
            <w:tcBorders>
              <w:tl2br w:val="nil"/>
              <w:tr2bl w:val="nil"/>
            </w:tcBorders>
            <w:vAlign w:val="center"/>
          </w:tcPr>
          <w:p>
            <w:pPr>
              <w:bidi w:val="0"/>
              <w:jc w:val="center"/>
              <w:rPr>
                <w:rFonts w:hint="default" w:ascii="Times New Roman" w:hAnsi="Times New Roman" w:cs="Times New Roman"/>
                <w:sz w:val="21"/>
                <w:szCs w:val="21"/>
                <w:u w:val="single"/>
                <w:lang w:eastAsia="zh-CN"/>
              </w:rPr>
            </w:pPr>
            <w:r>
              <w:rPr>
                <w:rFonts w:hint="default" w:ascii="Times New Roman" w:hAnsi="Times New Roman" w:cs="Times New Roman"/>
                <w:sz w:val="21"/>
                <w:szCs w:val="21"/>
                <w:u w:val="single"/>
                <w:lang w:eastAsia="zh-CN"/>
              </w:rPr>
              <w:t>序号</w:t>
            </w:r>
          </w:p>
        </w:tc>
        <w:tc>
          <w:tcPr>
            <w:tcW w:w="3834" w:type="dxa"/>
            <w:tcBorders>
              <w:tl2br w:val="nil"/>
              <w:tr2bl w:val="nil"/>
            </w:tcBorders>
            <w:vAlign w:val="center"/>
          </w:tcPr>
          <w:p>
            <w:pPr>
              <w:bidi w:val="0"/>
              <w:jc w:val="center"/>
              <w:rPr>
                <w:rFonts w:hint="default" w:ascii="Times New Roman" w:hAnsi="Times New Roman" w:cs="Times New Roman"/>
                <w:sz w:val="21"/>
                <w:szCs w:val="21"/>
                <w:u w:val="single"/>
                <w:lang w:eastAsia="zh-CN"/>
              </w:rPr>
            </w:pPr>
            <w:r>
              <w:rPr>
                <w:rFonts w:hint="default" w:ascii="Times New Roman" w:hAnsi="Times New Roman" w:cs="Times New Roman"/>
                <w:sz w:val="21"/>
                <w:szCs w:val="21"/>
                <w:u w:val="single"/>
                <w:lang w:eastAsia="zh-CN"/>
              </w:rPr>
              <w:t>审核意见</w:t>
            </w:r>
          </w:p>
        </w:tc>
        <w:tc>
          <w:tcPr>
            <w:tcW w:w="3486" w:type="dxa"/>
            <w:tcBorders>
              <w:tl2br w:val="nil"/>
              <w:tr2bl w:val="nil"/>
            </w:tcBorders>
            <w:vAlign w:val="center"/>
          </w:tcPr>
          <w:p>
            <w:pPr>
              <w:bidi w:val="0"/>
              <w:jc w:val="center"/>
              <w:rPr>
                <w:rFonts w:hint="default" w:ascii="Times New Roman" w:hAnsi="Times New Roman" w:cs="Times New Roman"/>
                <w:sz w:val="21"/>
                <w:szCs w:val="21"/>
                <w:u w:val="single"/>
                <w:lang w:eastAsia="zh-CN"/>
              </w:rPr>
            </w:pPr>
            <w:r>
              <w:rPr>
                <w:rFonts w:hint="default" w:ascii="Times New Roman" w:hAnsi="Times New Roman" w:cs="Times New Roman"/>
                <w:sz w:val="21"/>
                <w:szCs w:val="21"/>
                <w:u w:val="single"/>
                <w:lang w:eastAsia="zh-CN"/>
              </w:rPr>
              <w:t>修改情况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2" w:type="dxa"/>
            <w:tcBorders>
              <w:tl2br w:val="nil"/>
              <w:tr2bl w:val="nil"/>
            </w:tcBorders>
            <w:vAlign w:val="center"/>
          </w:tcPr>
          <w:p>
            <w:pPr>
              <w:bidi w:val="0"/>
              <w:jc w:val="center"/>
              <w:rPr>
                <w:rFonts w:hint="default" w:ascii="Times New Roman" w:hAnsi="Times New Roman" w:cs="Times New Roman"/>
                <w:sz w:val="21"/>
                <w:szCs w:val="21"/>
                <w:u w:val="single"/>
                <w:lang w:val="en-US" w:eastAsia="zh-CN"/>
              </w:rPr>
            </w:pPr>
            <w:r>
              <w:rPr>
                <w:rFonts w:hint="default" w:ascii="Times New Roman" w:hAnsi="Times New Roman" w:cs="Times New Roman"/>
                <w:sz w:val="21"/>
                <w:szCs w:val="21"/>
                <w:u w:val="single"/>
                <w:lang w:val="en-US" w:eastAsia="zh-CN"/>
              </w:rPr>
              <w:t>1</w:t>
            </w:r>
          </w:p>
        </w:tc>
        <w:tc>
          <w:tcPr>
            <w:tcW w:w="3834" w:type="dxa"/>
            <w:tcBorders>
              <w:tl2br w:val="nil"/>
              <w:tr2bl w:val="nil"/>
            </w:tcBorders>
            <w:vAlign w:val="center"/>
          </w:tcPr>
          <w:p>
            <w:pPr>
              <w:bidi w:val="0"/>
              <w:jc w:val="center"/>
              <w:rPr>
                <w:rFonts w:hint="default" w:ascii="Times New Roman" w:hAnsi="Times New Roman" w:cs="Times New Roman"/>
                <w:sz w:val="21"/>
                <w:szCs w:val="21"/>
                <w:u w:val="single"/>
                <w:lang w:eastAsia="zh-CN"/>
              </w:rPr>
            </w:pPr>
            <w:r>
              <w:rPr>
                <w:rFonts w:hint="default" w:ascii="Times New Roman" w:hAnsi="Times New Roman" w:cs="Times New Roman"/>
                <w:sz w:val="21"/>
                <w:szCs w:val="21"/>
                <w:u w:val="single"/>
                <w:lang w:eastAsia="zh-CN"/>
              </w:rPr>
              <w:t>结合电镀行业清洁生产评价指标体系，确定审核前企业清洁生产水平。</w:t>
            </w:r>
          </w:p>
        </w:tc>
        <w:tc>
          <w:tcPr>
            <w:tcW w:w="3486" w:type="dxa"/>
            <w:tcBorders>
              <w:tl2br w:val="nil"/>
              <w:tr2bl w:val="nil"/>
            </w:tcBorders>
            <w:vAlign w:val="center"/>
          </w:tcPr>
          <w:p>
            <w:pPr>
              <w:bidi w:val="0"/>
              <w:jc w:val="center"/>
              <w:rPr>
                <w:rFonts w:hint="default" w:ascii="Times New Roman" w:hAnsi="Times New Roman" w:cs="Times New Roman"/>
                <w:sz w:val="21"/>
                <w:szCs w:val="21"/>
                <w:u w:val="single"/>
                <w:lang w:val="en-US" w:eastAsia="zh-CN"/>
              </w:rPr>
            </w:pPr>
            <w:r>
              <w:rPr>
                <w:rFonts w:hint="eastAsia" w:ascii="Times New Roman" w:hAnsi="Times New Roman" w:cs="Times New Roman"/>
                <w:sz w:val="21"/>
                <w:szCs w:val="21"/>
                <w:u w:val="single"/>
                <w:lang w:val="en-US" w:eastAsia="zh-CN"/>
              </w:rPr>
              <w:t>已完善，详见P45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202" w:type="dxa"/>
            <w:tcBorders>
              <w:tl2br w:val="nil"/>
              <w:tr2bl w:val="nil"/>
            </w:tcBorders>
            <w:vAlign w:val="center"/>
          </w:tcPr>
          <w:p>
            <w:pPr>
              <w:bidi w:val="0"/>
              <w:jc w:val="center"/>
              <w:rPr>
                <w:rFonts w:hint="default" w:ascii="Times New Roman" w:hAnsi="Times New Roman" w:cs="Times New Roman"/>
                <w:sz w:val="21"/>
                <w:szCs w:val="21"/>
                <w:u w:val="single"/>
                <w:lang w:val="en-US" w:eastAsia="zh-CN"/>
              </w:rPr>
            </w:pPr>
            <w:r>
              <w:rPr>
                <w:rFonts w:hint="default" w:ascii="Times New Roman" w:hAnsi="Times New Roman" w:cs="Times New Roman"/>
                <w:sz w:val="21"/>
                <w:szCs w:val="21"/>
                <w:u w:val="single"/>
                <w:lang w:val="en-US" w:eastAsia="zh-CN"/>
              </w:rPr>
              <w:t>2</w:t>
            </w:r>
          </w:p>
        </w:tc>
        <w:tc>
          <w:tcPr>
            <w:tcW w:w="3834" w:type="dxa"/>
            <w:tcBorders>
              <w:tl2br w:val="nil"/>
              <w:tr2bl w:val="nil"/>
            </w:tcBorders>
            <w:vAlign w:val="center"/>
          </w:tcPr>
          <w:p>
            <w:pPr>
              <w:bidi w:val="0"/>
              <w:jc w:val="center"/>
              <w:rPr>
                <w:rFonts w:hint="default" w:ascii="Times New Roman" w:hAnsi="Times New Roman" w:cs="Times New Roman"/>
                <w:sz w:val="21"/>
                <w:szCs w:val="21"/>
                <w:u w:val="single"/>
                <w:lang w:eastAsia="zh-CN"/>
              </w:rPr>
            </w:pPr>
            <w:r>
              <w:rPr>
                <w:rFonts w:hint="default" w:ascii="Times New Roman" w:hAnsi="Times New Roman" w:cs="Times New Roman"/>
                <w:sz w:val="21"/>
                <w:szCs w:val="21"/>
                <w:u w:val="single"/>
                <w:lang w:eastAsia="zh-CN"/>
              </w:rPr>
              <w:t>核实审核重点水平衡、物料平衡图</w:t>
            </w:r>
            <w:r>
              <w:rPr>
                <w:rFonts w:hint="eastAsia" w:ascii="Times New Roman" w:hAnsi="Times New Roman" w:cs="Times New Roman"/>
                <w:sz w:val="21"/>
                <w:szCs w:val="21"/>
                <w:u w:val="single"/>
                <w:lang w:eastAsia="zh-CN"/>
              </w:rPr>
              <w:t>；</w:t>
            </w:r>
            <w:r>
              <w:rPr>
                <w:rFonts w:hint="default" w:ascii="Times New Roman" w:hAnsi="Times New Roman" w:cs="Times New Roman"/>
                <w:sz w:val="21"/>
                <w:szCs w:val="21"/>
                <w:u w:val="single"/>
                <w:lang w:eastAsia="zh-CN"/>
              </w:rPr>
              <w:t>细化中高费方案的可行性及经济、效益分析。</w:t>
            </w:r>
          </w:p>
          <w:p>
            <w:pPr>
              <w:bidi w:val="0"/>
              <w:jc w:val="center"/>
              <w:rPr>
                <w:rFonts w:hint="default" w:ascii="Times New Roman" w:hAnsi="Times New Roman" w:cs="Times New Roman"/>
                <w:sz w:val="21"/>
                <w:szCs w:val="21"/>
                <w:u w:val="single"/>
                <w:lang w:eastAsia="zh-CN"/>
              </w:rPr>
            </w:pPr>
          </w:p>
        </w:tc>
        <w:tc>
          <w:tcPr>
            <w:tcW w:w="3486" w:type="dxa"/>
            <w:tcBorders>
              <w:tl2br w:val="nil"/>
              <w:tr2bl w:val="nil"/>
            </w:tcBorders>
            <w:vAlign w:val="center"/>
          </w:tcPr>
          <w:p>
            <w:pPr>
              <w:bidi w:val="0"/>
              <w:jc w:val="center"/>
              <w:rPr>
                <w:rFonts w:hint="default" w:ascii="Times New Roman" w:hAnsi="Times New Roman" w:cs="Times New Roman"/>
                <w:sz w:val="21"/>
                <w:szCs w:val="21"/>
                <w:u w:val="single"/>
                <w:lang w:val="en-US" w:eastAsia="zh-CN"/>
              </w:rPr>
            </w:pPr>
            <w:r>
              <w:rPr>
                <w:rFonts w:hint="eastAsia" w:ascii="Times New Roman" w:hAnsi="Times New Roman" w:cs="Times New Roman"/>
                <w:sz w:val="21"/>
                <w:szCs w:val="21"/>
                <w:u w:val="single"/>
                <w:lang w:eastAsia="zh-CN"/>
              </w:rPr>
              <w:t>已细化完善水平衡图、物料平衡图，详见</w:t>
            </w:r>
            <w:r>
              <w:rPr>
                <w:rFonts w:hint="eastAsia" w:ascii="Times New Roman" w:hAnsi="Times New Roman" w:cs="Times New Roman"/>
                <w:sz w:val="21"/>
                <w:szCs w:val="21"/>
                <w:u w:val="single"/>
                <w:lang w:val="en-US" w:eastAsia="zh-CN"/>
              </w:rPr>
              <w:t>P30</w:t>
            </w:r>
            <w:r>
              <w:rPr>
                <w:rFonts w:hint="eastAsia" w:ascii="Times New Roman" w:hAnsi="Times New Roman" w:cs="Times New Roman"/>
                <w:sz w:val="21"/>
                <w:szCs w:val="21"/>
                <w:u w:val="single"/>
                <w:lang w:eastAsia="zh-CN"/>
              </w:rPr>
              <w:t>；已完善中高费方案分析</w:t>
            </w:r>
            <w:r>
              <w:rPr>
                <w:rFonts w:hint="default" w:ascii="Times New Roman" w:hAnsi="Times New Roman" w:cs="Times New Roman"/>
                <w:sz w:val="21"/>
                <w:szCs w:val="21"/>
                <w:u w:val="single"/>
                <w:lang w:eastAsia="zh-CN"/>
              </w:rPr>
              <w:t>，详见</w:t>
            </w:r>
            <w:r>
              <w:rPr>
                <w:rFonts w:hint="default" w:ascii="Times New Roman" w:hAnsi="Times New Roman" w:cs="Times New Roman"/>
                <w:sz w:val="21"/>
                <w:szCs w:val="21"/>
                <w:u w:val="single"/>
                <w:lang w:val="en-US" w:eastAsia="zh-CN"/>
              </w:rPr>
              <w:t>P45。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202" w:type="dxa"/>
            <w:tcBorders>
              <w:tl2br w:val="nil"/>
              <w:tr2bl w:val="nil"/>
            </w:tcBorders>
            <w:vAlign w:val="center"/>
          </w:tcPr>
          <w:p>
            <w:pPr>
              <w:bidi w:val="0"/>
              <w:jc w:val="center"/>
              <w:rPr>
                <w:rFonts w:hint="default" w:ascii="Times New Roman" w:hAnsi="Times New Roman" w:cs="Times New Roman"/>
                <w:sz w:val="21"/>
                <w:szCs w:val="21"/>
                <w:u w:val="single"/>
                <w:lang w:val="en-US" w:eastAsia="zh-CN"/>
              </w:rPr>
            </w:pPr>
            <w:r>
              <w:rPr>
                <w:rFonts w:hint="default" w:ascii="Times New Roman" w:hAnsi="Times New Roman" w:cs="Times New Roman"/>
                <w:sz w:val="21"/>
                <w:szCs w:val="21"/>
                <w:u w:val="single"/>
                <w:lang w:val="en-US" w:eastAsia="zh-CN"/>
              </w:rPr>
              <w:t>3</w:t>
            </w:r>
          </w:p>
        </w:tc>
        <w:tc>
          <w:tcPr>
            <w:tcW w:w="3834" w:type="dxa"/>
            <w:tcBorders>
              <w:tl2br w:val="nil"/>
              <w:tr2bl w:val="nil"/>
            </w:tcBorders>
            <w:vAlign w:val="center"/>
          </w:tcPr>
          <w:p>
            <w:pPr>
              <w:bidi w:val="0"/>
              <w:jc w:val="center"/>
              <w:rPr>
                <w:rFonts w:hint="default" w:ascii="Times New Roman" w:hAnsi="Times New Roman" w:cs="Times New Roman"/>
                <w:sz w:val="21"/>
                <w:szCs w:val="21"/>
                <w:u w:val="single"/>
                <w:lang w:eastAsia="zh-CN"/>
              </w:rPr>
            </w:pPr>
            <w:r>
              <w:rPr>
                <w:rFonts w:hint="default" w:ascii="Times New Roman" w:hAnsi="Times New Roman" w:cs="Times New Roman"/>
                <w:sz w:val="21"/>
                <w:szCs w:val="21"/>
                <w:u w:val="single"/>
                <w:lang w:eastAsia="zh-CN"/>
              </w:rPr>
              <w:t>补充行业专家意见及采纳情况，规范报告格式，完善附图附件</w:t>
            </w:r>
          </w:p>
        </w:tc>
        <w:tc>
          <w:tcPr>
            <w:tcW w:w="3486" w:type="dxa"/>
            <w:tcBorders>
              <w:tl2br w:val="nil"/>
              <w:tr2bl w:val="nil"/>
            </w:tcBorders>
            <w:vAlign w:val="center"/>
          </w:tcPr>
          <w:p>
            <w:pPr>
              <w:bidi w:val="0"/>
              <w:jc w:val="center"/>
              <w:rPr>
                <w:rFonts w:hint="default" w:ascii="Times New Roman" w:hAnsi="Times New Roman" w:cs="Times New Roman"/>
                <w:sz w:val="21"/>
                <w:szCs w:val="21"/>
                <w:u w:val="single"/>
                <w:lang w:val="en-US" w:eastAsia="zh-CN"/>
              </w:rPr>
            </w:pPr>
            <w:r>
              <w:rPr>
                <w:rFonts w:hint="eastAsia" w:ascii="Times New Roman" w:hAnsi="Times New Roman" w:cs="Times New Roman"/>
                <w:sz w:val="21"/>
                <w:szCs w:val="21"/>
                <w:u w:val="single"/>
                <w:lang w:eastAsia="zh-CN"/>
              </w:rPr>
              <w:t>已补充专家意见采纳情况，详见</w:t>
            </w:r>
            <w:r>
              <w:rPr>
                <w:rFonts w:hint="eastAsia" w:ascii="Times New Roman" w:hAnsi="Times New Roman" w:cs="Times New Roman"/>
                <w:sz w:val="21"/>
                <w:szCs w:val="21"/>
                <w:u w:val="single"/>
                <w:lang w:val="en-US" w:eastAsia="zh-CN"/>
              </w:rPr>
              <w:t>P81，已完善附图附件</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p>
    <w:p>
      <w:pPr>
        <w:spacing w:line="360" w:lineRule="auto"/>
        <w:jc w:val="both"/>
        <w:rPr>
          <w:rFonts w:hint="default" w:ascii="Times New Roman" w:hAnsi="Times New Roman" w:eastAsia="宋体" w:cs="Times New Roman"/>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numPr>
          <w:ilvl w:val="0"/>
          <w:numId w:val="3"/>
        </w:numPr>
        <w:bidi w:val="0"/>
        <w:jc w:val="center"/>
        <w:rPr>
          <w:rFonts w:hint="default" w:ascii="Times New Roman" w:hAnsi="Times New Roman" w:cs="Times New Roman"/>
          <w:lang w:val="en-US" w:eastAsia="zh-CN"/>
        </w:rPr>
      </w:pPr>
      <w:bookmarkStart w:id="125" w:name="_Toc10371"/>
      <w:r>
        <w:rPr>
          <w:rFonts w:hint="default" w:ascii="Times New Roman" w:hAnsi="Times New Roman" w:cs="Times New Roman"/>
          <w:lang w:val="en-US" w:eastAsia="zh-CN"/>
        </w:rPr>
        <w:t>持续清洁生产</w:t>
      </w:r>
      <w:bookmarkEnd w:id="125"/>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本次清洁生产审核工作的结果从实践的角度证明了开展清洁生产是实现可持续发展战略的需要，是控制环境污染的有效手段，更是提高企业市场竞争力的最可靠保证。为了使清洁生产工作能够在企业内长期、持续的推行下去，我们在完成了前一阶段的清洁生产工作后，制订了相应的持续清洁生产计划。本阶段工作重点是建立推行和管理清洁生产工作的组织机构、建立促进实施清洁生产的管理制度、制定持续清洁生产计划以及编写清洁生产审核报告。</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本轮审核工作即将结束时，咨询机构协调审核小组向企业建议从组织机构、管理制度及工作计划安排方面开展工作，以确保今后清洁生产能够在企业内部长期持续有效地开展，具体情况如下。</w:t>
      </w:r>
    </w:p>
    <w:p>
      <w:pPr>
        <w:pStyle w:val="5"/>
        <w:bidi w:val="0"/>
        <w:rPr>
          <w:rFonts w:hint="default" w:ascii="Times New Roman" w:hAnsi="Times New Roman" w:cs="Times New Roman"/>
          <w:lang w:val="en-US" w:eastAsia="zh-CN"/>
        </w:rPr>
      </w:pPr>
      <w:r>
        <w:rPr>
          <w:rFonts w:hint="default" w:ascii="Times New Roman" w:hAnsi="Times New Roman" w:cs="Times New Roman"/>
          <w:lang w:val="en-US" w:eastAsia="zh-CN"/>
        </w:rPr>
        <w:t>8.1 建立和完善清洁生产组织机构</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清洁生产是一个动态连续的过程，因而需要有一个固定的机构、稳定的人员来组织和协调这项工作，以巩固已取得的清洁生产成果，并使清洁生产工作持续的开展下去。</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持续清洁生产组织机构是今后企业持续开展清洁生产工作的承担者，是确保清洁生产工作持续开展的关键所在。因此审核工作小组及咨询指导小组反复协商，建立适合企业自身情况的组织机构，最终确定成立清洁生产常设机构――清洁生产办公室，由企业领导监督管理，负责今后在企业内部组织开展清洁生产审核工作，办公室人员亦进行了明确确定。同时为有利于内部审核工作的开展，各科室、生产车间均挑选技术过硬、工作认真负责的技术骨干人员但任其所在部门的内审员，具体承担今后其管理范围内的清洁生产审核工作，确保在咨询机构撤出后，企业内部仍有固定人员担负清洁生产工作。企业根据自身现状，以企业主要领导、各部门主要负责人以及技术人员为成员设置清洁生产组织机构，并确定环保办公室为日常清洁生产工作执行机构。清洁生产组织机构主要职责详见下表。</w:t>
      </w:r>
    </w:p>
    <w:p>
      <w:pPr>
        <w:pStyle w:val="2"/>
        <w:spacing w:line="360" w:lineRule="auto"/>
        <w:ind w:firstLine="480" w:firstLineChars="200"/>
        <w:jc w:val="center"/>
        <w:rPr>
          <w:rFonts w:hint="default" w:ascii="Times New Roman" w:hAnsi="Times New Roman" w:eastAsia="宋体" w:cs="Times New Roman"/>
          <w:color w:val="000000"/>
          <w:kern w:val="2"/>
          <w:sz w:val="24"/>
          <w:szCs w:val="20"/>
          <w:lang w:val="en-US" w:eastAsia="zh-CN" w:bidi="ar"/>
        </w:rPr>
      </w:pPr>
    </w:p>
    <w:p>
      <w:pPr>
        <w:pStyle w:val="2"/>
        <w:spacing w:line="360" w:lineRule="auto"/>
        <w:ind w:firstLine="480" w:firstLineChars="200"/>
        <w:jc w:val="center"/>
        <w:rPr>
          <w:rFonts w:hint="default" w:ascii="Times New Roman" w:hAnsi="Times New Roman" w:eastAsia="宋体" w:cs="Times New Roman"/>
          <w:color w:val="000000"/>
          <w:kern w:val="2"/>
          <w:sz w:val="24"/>
          <w:szCs w:val="20"/>
          <w:lang w:val="en-US" w:eastAsia="zh-CN" w:bidi="ar"/>
        </w:rPr>
      </w:pPr>
    </w:p>
    <w:p>
      <w:pPr>
        <w:pStyle w:val="2"/>
        <w:spacing w:line="360" w:lineRule="auto"/>
        <w:ind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表8-1   持续清洁生产组织机构</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657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组织机构名称</w:t>
            </w:r>
          </w:p>
        </w:tc>
        <w:tc>
          <w:tcPr>
            <w:tcW w:w="6578" w:type="dxa"/>
            <w:tcBorders>
              <w:tl2br w:val="nil"/>
              <w:tr2bl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责任部门</w:t>
            </w:r>
          </w:p>
        </w:tc>
        <w:tc>
          <w:tcPr>
            <w:tcW w:w="6578" w:type="dxa"/>
            <w:tcBorders>
              <w:tl2br w:val="nil"/>
              <w:tr2bl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安全生产科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负责人</w:t>
            </w:r>
          </w:p>
        </w:tc>
        <w:tc>
          <w:tcPr>
            <w:tcW w:w="6578" w:type="dxa"/>
            <w:tcBorders>
              <w:tl2br w:val="nil"/>
              <w:tr2bl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安全生产科科长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主要任务</w:t>
            </w:r>
          </w:p>
        </w:tc>
        <w:tc>
          <w:tcPr>
            <w:tcW w:w="6578" w:type="dxa"/>
            <w:tcBorders>
              <w:tl2br w:val="nil"/>
              <w:tr2bl w:val="nil"/>
            </w:tcBorders>
            <w:vAlign w:val="center"/>
          </w:tcPr>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（1）对员工开展持续的宣传和教育，定期邀请清洁生产审核专家进行现场培训，技术交流，并制定清洁生产审核工作计划表，提高广大员工对清洁生产艰巨性及紧迫性和持续性的认识，增强责任意识；</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（2）组织协调并监督实施本次审核提出的全部清洁生产方案；</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（3）监督和指导清洁生产工作的进行；</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（4）持续开展合理化建议等各种改善活动，产生、筛选和实施清洁生产方案；</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（5）选择下一轮清洁生产审核重点，并启动新的清洁生产审核；</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（6）负责清洁生产活动的日常管理。把清洁生产的成果纳入企业的日常管理轨道，使清洁生产工作持续开展下去；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组织成员及分工</w:t>
            </w:r>
          </w:p>
        </w:tc>
        <w:tc>
          <w:tcPr>
            <w:tcW w:w="6578" w:type="dxa"/>
            <w:tcBorders>
              <w:tl2br w:val="nil"/>
              <w:tr2bl w:val="nil"/>
            </w:tcBorders>
            <w:vAlign w:val="center"/>
          </w:tcPr>
          <w:p>
            <w:pPr>
              <w:pStyle w:val="2"/>
              <w:spacing w:line="240" w:lineRule="auto"/>
              <w:jc w:val="left"/>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清洁生产办公室主任：总决策和总负责</w:t>
            </w:r>
          </w:p>
          <w:p>
            <w:pPr>
              <w:pStyle w:val="2"/>
              <w:spacing w:line="240" w:lineRule="auto"/>
              <w:jc w:val="left"/>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清洁生产办公室成员：负责企业清洁生产的全面协调及清洁生产的各项工作</w:t>
            </w:r>
          </w:p>
        </w:tc>
      </w:tr>
    </w:tbl>
    <w:p>
      <w:pPr>
        <w:pStyle w:val="5"/>
        <w:bidi w:val="0"/>
        <w:rPr>
          <w:rFonts w:hint="default" w:ascii="Times New Roman" w:hAnsi="Times New Roman" w:cs="Times New Roman"/>
          <w:lang w:val="en-US" w:eastAsia="zh-CN"/>
        </w:rPr>
      </w:pPr>
      <w:r>
        <w:rPr>
          <w:rFonts w:hint="default" w:ascii="Times New Roman" w:hAnsi="Times New Roman" w:cs="Times New Roman"/>
          <w:lang w:val="en-US" w:eastAsia="zh-CN"/>
        </w:rPr>
        <w:t>8.2 完善持续清洁生产管理制度</w:t>
      </w:r>
    </w:p>
    <w:p>
      <w:pPr>
        <w:pStyle w:val="2"/>
        <w:spacing w:line="360" w:lineRule="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8.2.1 把审核结果纳入企业的日常管理</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把清洁生产审核成果及时纳入到企业日常管理，特别是通过清洁生产审核产生的一些无/低费方案，使之制度化、长期化，是巩固清洁生产成效、保持和提高清洁生产水平的重要手段。</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1）把清洁生产审核提出的加强管理的措施文件，形成制度；作为企业内部的清洁生产入场管理制度，公司制定了清洁生产审核制度，其中详细规定了持续清洁生产工作的内容和方法，并明确了持续清洁生产工作的责任人员，及其各自的职责和任务。</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2）在本轮次清洁生产审核中，对员工提出的可行的加强过程控制、规范工艺操作和改善管理方面的措施和建议，尤其是对环境影响大、问题多、带有普遍性、清洁生产潜力大的设备操作过程、技术工艺过程控制，公司根据具体情况列入岗位操作规程、技术规范或日常管理规章制度中，通过加强培训等手段来要求长期遵照执行。</w:t>
      </w:r>
    </w:p>
    <w:p>
      <w:pPr>
        <w:pStyle w:val="2"/>
        <w:spacing w:line="360" w:lineRule="auto"/>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8.2.2 建立和完善清洁生产激励机制</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清洁生产要求员工在各自的岗位上，积极开展清洁生产工作，不断的提出清洁生产方案。提出的方案经清洁生产工作组评估后，进行实施，实施后产生了明显的经济和环境效益的，及时给予方案提出人一定的精神和物质奖励。</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在清洁生产审核工作的第一阶段，公司为调动广大职工参与清洁生产审核的积极性即制定了较为详细的激励机制，以鼓励广大职工踊跃提出各类清洁生产合理化建议，并已取得较大成效。为长期广泛地调动广大员工的积极性，将清洁生产工作纳入绩效目标考核范围，明确指标，并制定相应的清洁生产考核办法，把清洁生产与部门以及员工的奖金、工资分配、提升、降级、上岗、下岗、表彰、批评等方面结合起来，持续遵循原清洁生产奖励机制以鼓励员工不断的提出更新、更好的合理化建议，有效推进持续清洁生产工作开展。</w:t>
      </w:r>
    </w:p>
    <w:p>
      <w:pPr>
        <w:pStyle w:val="2"/>
        <w:spacing w:line="360" w:lineRule="auto"/>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8.2.3 确保稳定的清洁生产资金来源</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清洁生产的资金来源可以有多种渠道，例如贷款、集资、研发经费、技改投资等，首先清洁生产管理制度的一项重要作用就是：保证实施清洁生产所产生的经济效益，全部或部分的应用于清洁生产和清洁生产审核，建议组织财务对清洁生产的投资和效益单独建账；然后积极主动争取各种清洁生产资金来源，如充分利用国家推进清洁生产的政策争取银行贷款、清洁生产补助、贴息等外部资金，保证持续滚动地推进清洁生产。</w:t>
      </w:r>
    </w:p>
    <w:p>
      <w:pPr>
        <w:pStyle w:val="2"/>
        <w:spacing w:line="360" w:lineRule="auto"/>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8.2.4 定期总结清洁生产工作进展情况</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为利于清洁生产工作的开展和效果总结，企业规定每月月末各部门对其部门内部的清洁生产情况进行总结，内容包括列入计划的清洁生产方案的实施情况，实施效果，尚存在的清洁生产问题和相应的对策建议等。</w:t>
      </w:r>
    </w:p>
    <w:p>
      <w:pPr>
        <w:pStyle w:val="5"/>
        <w:bidi w:val="0"/>
        <w:rPr>
          <w:rFonts w:hint="default" w:ascii="Times New Roman" w:hAnsi="Times New Roman" w:cs="Times New Roman"/>
          <w:lang w:val="en-US" w:eastAsia="zh-CN"/>
        </w:rPr>
      </w:pPr>
      <w:r>
        <w:rPr>
          <w:rFonts w:hint="default" w:ascii="Times New Roman" w:hAnsi="Times New Roman" w:cs="Times New Roman"/>
          <w:lang w:val="en-US" w:eastAsia="zh-CN"/>
        </w:rPr>
        <w:t>8.3 制定持续清洁生产计划</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任何工作的顺利开展都离不开有条不紊的计划性。清洁生产也不例外。因此需要制定出持续清洁生产计划，使清洁生产工作有组织、有计划地开展下去；持续的清洁生产计划应包括：清洁生产审核工作计划，清洁生产方案的实施计划，清洁生产新技术的研究与开发计划，职工的清洁生产培训计划。</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审核小组经过深入讨论并报公司领导批准后形成了包括本轮审核、今后日常持续清洁生产工作、清洁生产技术攻关、宣传培训在内的持续清洁生产计划。持续清洁生产计划见下表。</w:t>
      </w:r>
    </w:p>
    <w:p>
      <w:pPr>
        <w:pStyle w:val="2"/>
        <w:spacing w:line="360" w:lineRule="auto"/>
        <w:ind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表8-2  持续清洁生产计划</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5"/>
        <w:gridCol w:w="2595"/>
        <w:gridCol w:w="300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tcBorders>
              <w:lef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项目</w:t>
            </w:r>
          </w:p>
        </w:tc>
        <w:tc>
          <w:tcPr>
            <w:tcW w:w="5604" w:type="dxa"/>
            <w:gridSpan w:val="2"/>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主要内容</w:t>
            </w:r>
          </w:p>
        </w:tc>
        <w:tc>
          <w:tcPr>
            <w:tcW w:w="1253" w:type="dxa"/>
            <w:tcBorders>
              <w:righ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负责部门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tcBorders>
              <w:lef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持续清洁生产工作计划</w:t>
            </w:r>
          </w:p>
        </w:tc>
        <w:tc>
          <w:tcPr>
            <w:tcW w:w="5604" w:type="dxa"/>
            <w:gridSpan w:val="2"/>
            <w:vAlign w:val="center"/>
          </w:tcPr>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1、完成本轮清洁生产审核未实施的方案；</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2、各部门负责其范围内的持续清洁生产工作，每个月开展一次清洁生产会议，并提出宝贵的清洁生产建议；</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3、定期组织进行一次系统的清洁生产内部审核，清洁生产办公室负责监督检查、评议内审结果；</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4、通过精细化管理措施减少厂区无组织排放；</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5、加强企业能源管理，降低能源消耗；</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6、废水回用。</w:t>
            </w:r>
          </w:p>
        </w:tc>
        <w:tc>
          <w:tcPr>
            <w:tcW w:w="1253" w:type="dxa"/>
            <w:tcBorders>
              <w:righ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vMerge w:val="restart"/>
            <w:tcBorders>
              <w:lef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清洁生产方案实施计划</w:t>
            </w:r>
          </w:p>
        </w:tc>
        <w:tc>
          <w:tcPr>
            <w:tcW w:w="2595" w:type="dxa"/>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持续清洁生产方案</w:t>
            </w:r>
          </w:p>
        </w:tc>
        <w:tc>
          <w:tcPr>
            <w:tcW w:w="3009" w:type="dxa"/>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计划完成时间</w:t>
            </w:r>
          </w:p>
        </w:tc>
        <w:tc>
          <w:tcPr>
            <w:tcW w:w="1253" w:type="dxa"/>
            <w:vMerge w:val="restart"/>
            <w:tcBorders>
              <w:righ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665" w:type="dxa"/>
            <w:vMerge w:val="continue"/>
            <w:tcBorders>
              <w:lef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p>
        </w:tc>
        <w:tc>
          <w:tcPr>
            <w:tcW w:w="2595" w:type="dxa"/>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加强生产过程管理，进一步降低废水的产生及排放量，对污水处理系统臭味进行收集处理</w:t>
            </w:r>
          </w:p>
        </w:tc>
        <w:tc>
          <w:tcPr>
            <w:tcW w:w="3009" w:type="dxa"/>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2023.3</w:t>
            </w:r>
          </w:p>
        </w:tc>
        <w:tc>
          <w:tcPr>
            <w:tcW w:w="1253" w:type="dxa"/>
            <w:vMerge w:val="continue"/>
            <w:tcBorders>
              <w:righ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665" w:type="dxa"/>
            <w:vMerge w:val="continue"/>
            <w:tcBorders>
              <w:lef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p>
        </w:tc>
        <w:tc>
          <w:tcPr>
            <w:tcW w:w="2595" w:type="dxa"/>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eastAsia" w:ascii="Times New Roman" w:hAnsi="Times New Roman" w:eastAsia="宋体" w:cs="Times New Roman"/>
                <w:color w:val="000000"/>
                <w:kern w:val="2"/>
                <w:sz w:val="21"/>
                <w:szCs w:val="21"/>
                <w:vertAlign w:val="baseline"/>
                <w:lang w:val="en-US" w:eastAsia="zh-CN" w:bidi="ar"/>
              </w:rPr>
              <w:t>对厂区2#污水处理站进行防晒、防渗、防洪处理，避免外界降水渗入</w:t>
            </w:r>
          </w:p>
        </w:tc>
        <w:tc>
          <w:tcPr>
            <w:tcW w:w="3009" w:type="dxa"/>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2023.3</w:t>
            </w:r>
          </w:p>
        </w:tc>
        <w:tc>
          <w:tcPr>
            <w:tcW w:w="1253" w:type="dxa"/>
            <w:vMerge w:val="continue"/>
            <w:tcBorders>
              <w:righ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tcBorders>
              <w:lef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职工的清洁生产培训</w:t>
            </w:r>
          </w:p>
        </w:tc>
        <w:tc>
          <w:tcPr>
            <w:tcW w:w="5604" w:type="dxa"/>
            <w:gridSpan w:val="2"/>
            <w:vAlign w:val="center"/>
          </w:tcPr>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1、清洁生产知识培训，通过板报、生产例会和清洁生产会议，进行清洁生产知识培训、印制清洁生产手册和组织清洁生产知识考试等形式进行宣传；</w:t>
            </w:r>
          </w:p>
          <w:p>
            <w:pPr>
              <w:pStyle w:val="2"/>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2、清洁生产技术培训，定期组织职工学习行业推荐的清洁生产技术，培养职工科技创新能力。</w:t>
            </w:r>
          </w:p>
        </w:tc>
        <w:tc>
          <w:tcPr>
            <w:tcW w:w="1253" w:type="dxa"/>
            <w:tcBorders>
              <w:right w:val="nil"/>
            </w:tcBorders>
            <w:vAlign w:val="center"/>
          </w:tcPr>
          <w:p>
            <w:pPr>
              <w:pStyle w:val="2"/>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w:t>
            </w:r>
          </w:p>
        </w:tc>
      </w:tr>
    </w:tbl>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p>
    <w:p>
      <w:pPr>
        <w:pStyle w:val="2"/>
        <w:spacing w:line="360" w:lineRule="auto"/>
        <w:rPr>
          <w:rFonts w:hint="default" w:ascii="Times New Roman" w:hAnsi="Times New Roman" w:eastAsia="宋体" w:cs="Times New Roman"/>
          <w:color w:val="000000"/>
          <w:kern w:val="2"/>
          <w:sz w:val="24"/>
          <w:szCs w:val="20"/>
          <w:lang w:val="en-US" w:eastAsia="zh-CN" w:bidi="ar"/>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numPr>
          <w:ilvl w:val="0"/>
          <w:numId w:val="3"/>
        </w:numPr>
        <w:bidi w:val="0"/>
        <w:ind w:left="0" w:leftChars="0" w:firstLine="0" w:firstLineChars="0"/>
        <w:jc w:val="center"/>
        <w:rPr>
          <w:rFonts w:hint="default" w:ascii="Times New Roman" w:hAnsi="Times New Roman" w:cs="Times New Roman"/>
          <w:lang w:val="en-US" w:eastAsia="zh-CN"/>
        </w:rPr>
      </w:pPr>
      <w:bookmarkStart w:id="126" w:name="_Toc18212"/>
      <w:r>
        <w:rPr>
          <w:rFonts w:hint="default" w:ascii="Times New Roman" w:hAnsi="Times New Roman" w:cs="Times New Roman"/>
          <w:lang w:val="en-US" w:eastAsia="zh-CN"/>
        </w:rPr>
        <w:t>结论</w:t>
      </w:r>
      <w:bookmarkEnd w:id="126"/>
    </w:p>
    <w:p>
      <w:pPr>
        <w:pStyle w:val="5"/>
        <w:bidi w:val="0"/>
        <w:rPr>
          <w:rFonts w:hint="default" w:ascii="Times New Roman" w:hAnsi="Times New Roman" w:cs="Times New Roman"/>
          <w:lang w:val="en-US" w:eastAsia="zh-CN"/>
        </w:rPr>
      </w:pPr>
      <w:r>
        <w:rPr>
          <w:rFonts w:hint="default" w:ascii="Times New Roman" w:hAnsi="Times New Roman" w:cs="Times New Roman"/>
          <w:lang w:val="en-US" w:eastAsia="zh-CN"/>
        </w:rPr>
        <w:t>9.1 审核工作过程总结</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审核过程中，公司在咨询公司专家的指导下，按照国家清洁生产审核工作程序扎扎实实开展了各项审核工作：</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（1）全员的支持和参与</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在公司领导的大力支持和带头参与下，全体员工积极的学习清洁生产的相关知识，并按照清洁生产审核的要求，踊跃提出和实施清洁生产方案。</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（2）宣传教育广泛而深入</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清洁生产审核过程中公司通过召开宣传会议、全员会议、发放宣传资料、写板报以及清洁生产审核知识考试等多种形式进行了深入而广泛的清洁生产及清洁生产审核相关知识的宣传，使全厂各级员工取得了对清洁生产审核工作的深刻理解和认识。</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（3）成立专门组织开展各项工作</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在清洁生产审核工作全面开展之前，本公司成立了以总经理为组长，技术部长为副组长，各车间的负责人为成员的清洁生产审核小组，同时咨询机构有丰富经验的审核师成立了审核指导小组。各组职责明确，分工协作，共同推动审核工作的开展。</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（4）充分调研，重点、目标明确</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审核小组认真扎实地开展了预审核工作，对公司生产现状、环保现状及管理现状进行了深入细致地调研，在此基础上开展了现场考察，并进行了产污排污评价，确定了本轮清洁生产的审核重点为整个生产过程，审核重点是熟料车间。并依据企业现状设置了本轮审核的清洁生产目标，审核中针对审核重点及审核目标开展工作。</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（5）深入分析、重点工作</w:t>
      </w:r>
    </w:p>
    <w:p>
      <w:pPr>
        <w:pStyle w:val="2"/>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审核小组认真进行了审核阶段的各项工作：充分收集审核重点资料，围绕边审核边实施方案的原则，通过多种审核手段，单元操作分析、物料平衡等，以此为基础充分分析废弃物产生原因和生产中存在的问题及其发生原因。</w:t>
      </w:r>
    </w:p>
    <w:p>
      <w:pPr>
        <w:pStyle w:val="2"/>
        <w:numPr>
          <w:ilvl w:val="0"/>
          <w:numId w:val="0"/>
        </w:numPr>
        <w:spacing w:line="360" w:lineRule="auto"/>
        <w:ind w:left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（6）广泛征集，积极分析、实施清洁生产方案</w:t>
      </w:r>
    </w:p>
    <w:p>
      <w:pPr>
        <w:pStyle w:val="2"/>
        <w:numPr>
          <w:ilvl w:val="0"/>
          <w:numId w:val="0"/>
        </w:numPr>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在充分开展宣传教育、现状调研及实测分析后，进行了多次不同规模、范围和深度的清洁生产方案征集活动，经汇总，共征</w:t>
      </w:r>
      <w:r>
        <w:rPr>
          <w:rFonts w:hint="default" w:ascii="Times New Roman" w:hAnsi="Times New Roman" w:eastAsia="宋体" w:cs="Times New Roman"/>
          <w:color w:val="000000"/>
          <w:kern w:val="2"/>
          <w:sz w:val="24"/>
          <w:szCs w:val="20"/>
          <w:highlight w:val="none"/>
          <w:lang w:val="en-US" w:eastAsia="zh-CN" w:bidi="ar"/>
        </w:rPr>
        <w:t>集上来20条清洁生产方案，并及时根据公司实际情况对方案进行充分分析筛选、研制和可行性论证，筛选出20</w:t>
      </w:r>
      <w:r>
        <w:rPr>
          <w:rFonts w:hint="default" w:ascii="Times New Roman" w:hAnsi="Times New Roman" w:eastAsia="宋体" w:cs="Times New Roman"/>
          <w:color w:val="000000"/>
          <w:kern w:val="2"/>
          <w:sz w:val="24"/>
          <w:szCs w:val="20"/>
          <w:lang w:val="en-US" w:eastAsia="zh-CN" w:bidi="ar"/>
        </w:rPr>
        <w:t xml:space="preserve">条可行方案，并对可行方案积极予以实施。 </w:t>
      </w:r>
    </w:p>
    <w:p>
      <w:pPr>
        <w:pStyle w:val="2"/>
        <w:numPr>
          <w:ilvl w:val="0"/>
          <w:numId w:val="0"/>
        </w:numPr>
        <w:spacing w:line="360" w:lineRule="auto"/>
        <w:ind w:left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（7）持续清洁生产</w:t>
      </w:r>
    </w:p>
    <w:p>
      <w:pPr>
        <w:pStyle w:val="2"/>
        <w:numPr>
          <w:ilvl w:val="0"/>
          <w:numId w:val="0"/>
        </w:numPr>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为利于审核工作在企业内持续开展，在审核后期将清洁生产机构完善成为公司内部常设机构，并从各部门抽调专人负责，明确各自任务与职责，并对清洁生产办公室成员进行更深入的审核内容方法技巧培训，并制定持续清洁生产工作计划，使持续清洁生产生产工作做到固定人员、有计划、有组织、有分工，确保在咨询机构退出后，企业能够自行开展清洁生产审核工作。</w:t>
      </w:r>
    </w:p>
    <w:p>
      <w:pPr>
        <w:pStyle w:val="5"/>
        <w:bidi w:val="0"/>
        <w:rPr>
          <w:rFonts w:hint="default" w:ascii="Times New Roman" w:hAnsi="Times New Roman" w:cs="Times New Roman"/>
          <w:lang w:val="en-US" w:eastAsia="zh-CN"/>
        </w:rPr>
      </w:pPr>
      <w:r>
        <w:rPr>
          <w:rFonts w:hint="default" w:ascii="Times New Roman" w:hAnsi="Times New Roman" w:cs="Times New Roman"/>
          <w:lang w:val="en-US" w:eastAsia="zh-CN"/>
        </w:rPr>
        <w:t>9.2 审核后企业现状结论</w:t>
      </w:r>
    </w:p>
    <w:p>
      <w:pPr>
        <w:pStyle w:val="2"/>
        <w:numPr>
          <w:ilvl w:val="0"/>
          <w:numId w:val="0"/>
        </w:numPr>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本轮清洁生产审核历时10个月，共产生清洁生产方案20个，经过认真研究、比较、筛选，确认方案全部可行。可行的方案中基本不需要经济投资或投资额较小的无/低费方案有18个，投资比较大的中/高费方案2个。通过所有清洁生产方案的实施，企业主要能源指标和污染物排放指标均得到优化，清洁生产水平达到国内一般水平。</w:t>
      </w:r>
    </w:p>
    <w:p>
      <w:pPr>
        <w:pStyle w:val="5"/>
        <w:bidi w:val="0"/>
        <w:rPr>
          <w:rFonts w:hint="default" w:ascii="Times New Roman" w:hAnsi="Times New Roman" w:cs="Times New Roman" w:eastAsiaTheme="minorEastAsia"/>
          <w:b/>
          <w:kern w:val="2"/>
          <w:szCs w:val="24"/>
          <w:lang w:val="en-US" w:eastAsia="zh-CN" w:bidi="ar-SA"/>
        </w:rPr>
      </w:pPr>
      <w:r>
        <w:rPr>
          <w:rFonts w:hint="default" w:ascii="Times New Roman" w:hAnsi="Times New Roman" w:cs="Times New Roman"/>
          <w:lang w:val="en-US" w:eastAsia="zh-CN"/>
        </w:rPr>
        <w:t>9.3 清洁生产审核效果总结</w:t>
      </w:r>
    </w:p>
    <w:p>
      <w:pPr>
        <w:pStyle w:val="2"/>
        <w:numPr>
          <w:ilvl w:val="0"/>
          <w:numId w:val="0"/>
        </w:numPr>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本轮清洁生产审核产生可行的20个方案，截至报告完成时，方案已经全部实施完成，实施完成率达到100%，已经实施的方案总投</w:t>
      </w:r>
      <w:r>
        <w:rPr>
          <w:rFonts w:hint="default" w:ascii="Times New Roman" w:hAnsi="Times New Roman" w:eastAsia="宋体" w:cs="Times New Roman"/>
          <w:color w:val="000000"/>
          <w:kern w:val="2"/>
          <w:sz w:val="24"/>
          <w:szCs w:val="20"/>
          <w:highlight w:val="none"/>
          <w:lang w:val="en-US" w:eastAsia="zh-CN" w:bidi="ar"/>
        </w:rPr>
        <w:t>资</w:t>
      </w:r>
      <w:r>
        <w:rPr>
          <w:rFonts w:hint="eastAsia" w:ascii="Times New Roman" w:hAnsi="Times New Roman" w:eastAsia="宋体" w:cs="Times New Roman"/>
          <w:color w:val="000000"/>
          <w:kern w:val="2"/>
          <w:sz w:val="24"/>
          <w:szCs w:val="20"/>
          <w:highlight w:val="none"/>
          <w:lang w:val="en-US" w:eastAsia="zh-CN" w:bidi="ar"/>
        </w:rPr>
        <w:t>115.65</w:t>
      </w:r>
      <w:r>
        <w:rPr>
          <w:rFonts w:hint="default" w:ascii="Times New Roman" w:hAnsi="Times New Roman" w:eastAsia="宋体" w:cs="Times New Roman"/>
          <w:color w:val="000000"/>
          <w:kern w:val="2"/>
          <w:sz w:val="24"/>
          <w:szCs w:val="20"/>
          <w:highlight w:val="none"/>
          <w:lang w:val="en-US" w:eastAsia="zh-CN" w:bidi="ar"/>
        </w:rPr>
        <w:t>万</w:t>
      </w:r>
      <w:r>
        <w:rPr>
          <w:rFonts w:hint="default" w:ascii="Times New Roman" w:hAnsi="Times New Roman" w:eastAsia="宋体" w:cs="Times New Roman"/>
          <w:color w:val="000000"/>
          <w:kern w:val="2"/>
          <w:sz w:val="24"/>
          <w:szCs w:val="20"/>
          <w:lang w:val="en-US" w:eastAsia="zh-CN" w:bidi="ar"/>
        </w:rPr>
        <w:t>元。方案实施后产生的效益汇总如下表。</w:t>
      </w:r>
    </w:p>
    <w:p>
      <w:pPr>
        <w:pStyle w:val="2"/>
        <w:numPr>
          <w:ilvl w:val="0"/>
          <w:numId w:val="0"/>
        </w:numPr>
        <w:spacing w:line="360" w:lineRule="auto"/>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表9-1   方案效益汇总表（折合全年）</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80"/>
        <w:gridCol w:w="1155"/>
        <w:gridCol w:w="1095"/>
        <w:gridCol w:w="4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方案类别</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数量（个）</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预计投资</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（万元）</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预计增收（万元）</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预计年节能减排情况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无低费方案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5</w:t>
            </w:r>
            <w:r>
              <w:rPr>
                <w:rFonts w:hint="default" w:ascii="Times New Roman" w:hAnsi="Times New Roman" w:eastAsia="宋体" w:cs="Times New Roman"/>
                <w:b w:val="0"/>
                <w:bCs w:val="0"/>
                <w:color w:val="auto"/>
                <w:sz w:val="21"/>
                <w:szCs w:val="21"/>
                <w:vertAlign w:val="baseline"/>
                <w:lang w:val="en-US" w:eastAsia="zh-CN"/>
              </w:rPr>
              <w:t>.65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算，节约水费0.648万元/a。节约办公支出约200元/年，可节省人工成本8万元/年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中高费方案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110</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F19：电镀产生的酸雾得到有效的收集处理，车间内水雾淤积量明显降低，使无组织酸雾的外排量有效减少，对车间内职工健康和生产设备运行状态均会产生有益的影响</w:t>
            </w:r>
            <w:r>
              <w:rPr>
                <w:rFonts w:hint="eastAsia" w:ascii="Times New Roman" w:hAnsi="Times New Roman" w:eastAsia="宋体" w:cs="Times New Roman"/>
                <w:b w:val="0"/>
                <w:bCs w:val="0"/>
                <w:color w:val="auto"/>
                <w:sz w:val="21"/>
                <w:szCs w:val="21"/>
                <w:vertAlign w:val="baseline"/>
                <w:lang w:val="en-US" w:eastAsia="zh-CN"/>
              </w:rPr>
              <w:br w:type="textWrapping"/>
            </w:r>
            <w:r>
              <w:rPr>
                <w:rFonts w:hint="eastAsia" w:ascii="Times New Roman" w:hAnsi="Times New Roman" w:eastAsia="宋体" w:cs="Times New Roman"/>
                <w:b w:val="0"/>
                <w:bCs w:val="0"/>
                <w:color w:val="auto"/>
                <w:sz w:val="21"/>
                <w:szCs w:val="21"/>
                <w:vertAlign w:val="baseline"/>
                <w:lang w:val="en-US" w:eastAsia="zh-CN"/>
              </w:rPr>
              <w:t>F20：厂区电镀线产生的废水得到分类、分级处理，废水停留时间增加，污水处理站的处理能力得到加强，提高的回用水水质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w:t>
            </w:r>
            <w:r>
              <w:rPr>
                <w:rFonts w:hint="eastAsia" w:ascii="Times New Roman" w:hAnsi="Times New Roman" w:eastAsia="宋体" w:cs="Times New Roman"/>
                <w:b w:val="0"/>
                <w:bCs w:val="0"/>
                <w:color w:val="auto"/>
                <w:sz w:val="21"/>
                <w:szCs w:val="21"/>
                <w:vertAlign w:val="baseline"/>
                <w:lang w:val="en-US" w:eastAsia="zh-CN"/>
              </w:rPr>
              <w:t>5</w:t>
            </w:r>
            <w:r>
              <w:rPr>
                <w:rFonts w:hint="default" w:ascii="Times New Roman" w:hAnsi="Times New Roman" w:eastAsia="宋体" w:cs="Times New Roman"/>
                <w:b w:val="0"/>
                <w:bCs w:val="0"/>
                <w:color w:val="auto"/>
                <w:sz w:val="21"/>
                <w:szCs w:val="21"/>
                <w:vertAlign w:val="baseline"/>
                <w:lang w:val="en-US" w:eastAsia="zh-CN"/>
              </w:rPr>
              <w:t>.65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算，节约水费0.648万元/a。节约办公支出约200元/年，可节省人工成本8万元/年</w:t>
            </w:r>
            <w:r>
              <w:rPr>
                <w:rFonts w:hint="eastAsia" w:ascii="Times New Roman" w:hAnsi="Times New Roman" w:eastAsia="宋体" w:cs="Times New Roman"/>
                <w:b w:val="0"/>
                <w:bCs w:val="0"/>
                <w:color w:val="auto"/>
                <w:sz w:val="21"/>
                <w:szCs w:val="21"/>
                <w:vertAlign w:val="baseline"/>
                <w:lang w:val="en-US" w:eastAsia="zh-CN"/>
              </w:rPr>
              <w:t>；同时中高费方案的实施大大提高了厂区车间的环境质量，项目废水、废气治理装置得到优化改善，提高了环境效益</w:t>
            </w:r>
          </w:p>
        </w:tc>
      </w:tr>
    </w:tbl>
    <w:p>
      <w:pPr>
        <w:pStyle w:val="5"/>
        <w:bidi w:val="0"/>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9.4清洁生产档案</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u w:val="none"/>
          <w:lang w:val="en-US" w:eastAsia="zh-CN" w:bidi="ar"/>
        </w:rPr>
      </w:pPr>
      <w:r>
        <w:rPr>
          <w:rFonts w:hint="default" w:ascii="Times New Roman" w:hAnsi="Times New Roman" w:eastAsia="宋体" w:cs="Times New Roman"/>
          <w:kern w:val="2"/>
          <w:sz w:val="24"/>
          <w:szCs w:val="22"/>
          <w:u w:val="none"/>
          <w:lang w:val="en-US" w:eastAsia="zh-CN" w:bidi="ar"/>
        </w:rPr>
        <w:t>新乡市龙飞钢圈有限公司在清洁生产实施过程中形成了部分档案资料，为便于清洁生产工作的持续进行，现将清洁生产过程中产生的纸质资料及电子资料进行整理存档，档案材料内容及明细如下：</w:t>
      </w:r>
      <w:r>
        <w:rPr>
          <w:rFonts w:hint="default" w:ascii="Times New Roman" w:hAnsi="Times New Roman" w:eastAsia="宋体" w:cs="Times New Roman"/>
          <w:kern w:val="2"/>
          <w:sz w:val="24"/>
          <w:szCs w:val="22"/>
          <w:u w:val="none"/>
          <w:lang w:val="en-US" w:eastAsia="zh-CN" w:bidi="ar"/>
        </w:rPr>
        <w:br w:type="textWrapping"/>
      </w:r>
      <w:r>
        <w:rPr>
          <w:rFonts w:hint="default" w:ascii="Times New Roman" w:hAnsi="Times New Roman" w:eastAsia="宋体" w:cs="Times New Roman"/>
          <w:kern w:val="2"/>
          <w:sz w:val="24"/>
          <w:szCs w:val="22"/>
          <w:u w:val="none"/>
          <w:lang w:val="en-US" w:eastAsia="zh-CN" w:bidi="ar"/>
        </w:rPr>
        <w:t xml:space="preserve">    1、清洁生产审核小组的成立，详见附图三、附件四。</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u w:val="none"/>
          <w:lang w:val="en-US" w:eastAsia="zh-CN" w:bidi="ar"/>
        </w:rPr>
      </w:pPr>
      <w:r>
        <w:rPr>
          <w:rFonts w:hint="default" w:ascii="Times New Roman" w:hAnsi="Times New Roman" w:eastAsia="宋体" w:cs="Times New Roman"/>
          <w:kern w:val="2"/>
          <w:sz w:val="24"/>
          <w:szCs w:val="22"/>
          <w:u w:val="none"/>
          <w:lang w:val="en-US" w:eastAsia="zh-CN" w:bidi="ar"/>
        </w:rPr>
        <w:t>2、进行清洁生产培训、制定激励管理制度，详见附图三。</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u w:val="none"/>
          <w:lang w:val="en-US" w:eastAsia="zh-CN" w:bidi="ar"/>
        </w:rPr>
      </w:pPr>
      <w:r>
        <w:rPr>
          <w:rFonts w:hint="default" w:ascii="Times New Roman" w:hAnsi="Times New Roman" w:eastAsia="宋体" w:cs="Times New Roman"/>
          <w:kern w:val="2"/>
          <w:sz w:val="24"/>
          <w:szCs w:val="22"/>
          <w:u w:val="none"/>
          <w:lang w:val="en-US" w:eastAsia="zh-CN" w:bidi="ar"/>
        </w:rPr>
        <w:t>3、预审核、审核原始记录，现场踏勘图见附图四~附图</w:t>
      </w:r>
      <w:r>
        <w:rPr>
          <w:rFonts w:hint="eastAsia" w:ascii="Times New Roman" w:hAnsi="Times New Roman" w:eastAsia="宋体" w:cs="Times New Roman"/>
          <w:kern w:val="2"/>
          <w:sz w:val="24"/>
          <w:szCs w:val="22"/>
          <w:u w:val="none"/>
          <w:lang w:val="en-US" w:eastAsia="zh-CN" w:bidi="ar"/>
        </w:rPr>
        <w:t>六</w:t>
      </w:r>
      <w:r>
        <w:rPr>
          <w:rFonts w:hint="default" w:ascii="Times New Roman" w:hAnsi="Times New Roman" w:eastAsia="宋体" w:cs="Times New Roman"/>
          <w:kern w:val="2"/>
          <w:sz w:val="24"/>
          <w:szCs w:val="22"/>
          <w:u w:val="none"/>
          <w:lang w:val="en-US" w:eastAsia="zh-CN" w:bidi="ar"/>
        </w:rPr>
        <w:t>方案实施前照片。</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u w:val="none"/>
          <w:lang w:val="en-US" w:eastAsia="zh-CN" w:bidi="ar"/>
        </w:rPr>
      </w:pPr>
      <w:r>
        <w:rPr>
          <w:rFonts w:hint="default" w:ascii="Times New Roman" w:hAnsi="Times New Roman" w:eastAsia="宋体" w:cs="Times New Roman"/>
          <w:kern w:val="2"/>
          <w:sz w:val="24"/>
          <w:szCs w:val="22"/>
          <w:u w:val="none"/>
          <w:lang w:val="en-US" w:eastAsia="zh-CN" w:bidi="ar"/>
        </w:rPr>
        <w:t>4、方案产生的原始资料，收集了厂区职工提供的清洁生产记录，详见附件十五。</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u w:val="none"/>
          <w:lang w:val="en-US" w:eastAsia="zh-CN" w:bidi="ar"/>
        </w:rPr>
      </w:pPr>
      <w:r>
        <w:rPr>
          <w:rFonts w:hint="default" w:ascii="Times New Roman" w:hAnsi="Times New Roman" w:eastAsia="宋体" w:cs="Times New Roman"/>
          <w:kern w:val="2"/>
          <w:sz w:val="24"/>
          <w:szCs w:val="22"/>
          <w:u w:val="none"/>
          <w:lang w:val="en-US" w:eastAsia="zh-CN" w:bidi="ar"/>
        </w:rPr>
        <w:t>5、清洁生产中高费方案实施合同，详见附件十一。</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u w:val="none"/>
          <w:lang w:val="en-US" w:eastAsia="zh-CN" w:bidi="ar"/>
        </w:rPr>
      </w:pPr>
      <w:r>
        <w:rPr>
          <w:rFonts w:hint="default" w:ascii="Times New Roman" w:hAnsi="Times New Roman" w:eastAsia="宋体" w:cs="Times New Roman"/>
          <w:kern w:val="2"/>
          <w:sz w:val="24"/>
          <w:szCs w:val="22"/>
          <w:u w:val="none"/>
          <w:lang w:val="en-US" w:eastAsia="zh-CN" w:bidi="ar"/>
        </w:rPr>
        <w:t>6、审核后三废排放情况数据，详见第三方监测报告，附件七。</w:t>
      </w:r>
    </w:p>
    <w:p>
      <w:pPr>
        <w:pStyle w:val="2"/>
        <w:numPr>
          <w:ilvl w:val="0"/>
          <w:numId w:val="0"/>
        </w:numPr>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kern w:val="2"/>
          <w:sz w:val="24"/>
          <w:szCs w:val="22"/>
          <w:u w:val="none"/>
          <w:lang w:val="en-US" w:eastAsia="zh-CN" w:bidi="ar"/>
        </w:rPr>
        <w:t>7、持续清洁生产资料，本企业制定了符合企业实际生产状况的持续清洁生产计划进行实施，</w:t>
      </w:r>
      <w:r>
        <w:rPr>
          <w:rFonts w:hint="default" w:ascii="Times New Roman" w:hAnsi="Times New Roman" w:eastAsia="宋体" w:cs="Times New Roman"/>
          <w:kern w:val="2"/>
          <w:sz w:val="24"/>
          <w:szCs w:val="22"/>
          <w:highlight w:val="none"/>
          <w:u w:val="none"/>
          <w:lang w:val="en-US" w:eastAsia="zh-CN" w:bidi="ar"/>
        </w:rPr>
        <w:t>见P</w:t>
      </w:r>
      <w:r>
        <w:rPr>
          <w:rFonts w:hint="eastAsia" w:ascii="Times New Roman" w:hAnsi="Times New Roman" w:eastAsia="宋体" w:cs="Times New Roman"/>
          <w:kern w:val="2"/>
          <w:sz w:val="24"/>
          <w:szCs w:val="22"/>
          <w:highlight w:val="none"/>
          <w:u w:val="none"/>
          <w:lang w:val="en-US" w:eastAsia="zh-CN" w:bidi="ar"/>
        </w:rPr>
        <w:t>97。</w:t>
      </w:r>
    </w:p>
    <w:p>
      <w:pPr>
        <w:pStyle w:val="2"/>
        <w:numPr>
          <w:ilvl w:val="0"/>
          <w:numId w:val="0"/>
        </w:numPr>
        <w:spacing w:line="360" w:lineRule="auto"/>
        <w:rPr>
          <w:rFonts w:hint="default" w:ascii="Times New Roman" w:hAnsi="Times New Roman" w:eastAsia="宋体" w:cs="Times New Roman"/>
          <w:color w:val="000000"/>
          <w:kern w:val="2"/>
          <w:sz w:val="24"/>
          <w:szCs w:val="20"/>
          <w:lang w:val="en-US" w:eastAsia="zh-CN" w:bidi="ar"/>
        </w:rPr>
      </w:pPr>
    </w:p>
    <w:p>
      <w:pPr>
        <w:pStyle w:val="2"/>
        <w:numPr>
          <w:ilvl w:val="0"/>
          <w:numId w:val="0"/>
        </w:numPr>
        <w:spacing w:line="360" w:lineRule="auto"/>
        <w:rPr>
          <w:rFonts w:hint="default" w:ascii="Times New Roman" w:hAnsi="Times New Roman" w:eastAsia="宋体" w:cs="Times New Roman"/>
          <w:color w:val="000000"/>
          <w:kern w:val="2"/>
          <w:sz w:val="24"/>
          <w:szCs w:val="20"/>
          <w:lang w:val="en-US" w:eastAsia="zh-CN" w:bidi="ar"/>
        </w:rPr>
      </w:pPr>
    </w:p>
    <w:p>
      <w:pPr>
        <w:pStyle w:val="2"/>
        <w:numPr>
          <w:ilvl w:val="0"/>
          <w:numId w:val="0"/>
        </w:numPr>
        <w:spacing w:line="360" w:lineRule="auto"/>
        <w:rPr>
          <w:rFonts w:hint="default" w:ascii="Times New Roman" w:hAnsi="Times New Roman" w:eastAsia="宋体" w:cs="Times New Roman"/>
          <w:color w:val="000000"/>
          <w:kern w:val="2"/>
          <w:sz w:val="24"/>
          <w:szCs w:val="20"/>
          <w:lang w:val="en-US" w:eastAsia="zh-CN" w:bidi="ar"/>
        </w:rPr>
      </w:pPr>
    </w:p>
    <w:p>
      <w:pPr>
        <w:pStyle w:val="2"/>
        <w:numPr>
          <w:ilvl w:val="0"/>
          <w:numId w:val="0"/>
        </w:numPr>
        <w:spacing w:line="360" w:lineRule="auto"/>
        <w:rPr>
          <w:rFonts w:hint="default" w:ascii="Times New Roman" w:hAnsi="Times New Roman" w:eastAsia="宋体" w:cs="Times New Roman"/>
          <w:color w:val="000000"/>
          <w:kern w:val="2"/>
          <w:sz w:val="24"/>
          <w:szCs w:val="20"/>
          <w:lang w:val="en-US" w:eastAsia="zh-CN" w:bidi="ar"/>
        </w:rPr>
      </w:pPr>
    </w:p>
    <w:p>
      <w:pPr>
        <w:pStyle w:val="2"/>
        <w:numPr>
          <w:ilvl w:val="0"/>
          <w:numId w:val="0"/>
        </w:numPr>
        <w:spacing w:line="360" w:lineRule="auto"/>
        <w:rPr>
          <w:rFonts w:hint="default" w:ascii="Times New Roman" w:hAnsi="Times New Roman" w:eastAsia="宋体" w:cs="Times New Roman"/>
          <w:color w:val="000000"/>
          <w:kern w:val="2"/>
          <w:sz w:val="24"/>
          <w:szCs w:val="20"/>
          <w:lang w:val="en-US" w:eastAsia="zh-CN" w:bidi="ar"/>
        </w:rPr>
      </w:pPr>
    </w:p>
    <w:p>
      <w:pPr>
        <w:pStyle w:val="2"/>
        <w:numPr>
          <w:ilvl w:val="0"/>
          <w:numId w:val="0"/>
        </w:numPr>
        <w:spacing w:line="360" w:lineRule="auto"/>
        <w:rPr>
          <w:rFonts w:hint="default" w:ascii="Times New Roman" w:hAnsi="Times New Roman" w:eastAsia="宋体" w:cs="Times New Roman"/>
          <w:color w:val="000000"/>
          <w:kern w:val="2"/>
          <w:sz w:val="24"/>
          <w:szCs w:val="20"/>
          <w:lang w:val="en-US" w:eastAsia="zh-CN" w:bidi="ar"/>
        </w:rPr>
      </w:pPr>
    </w:p>
    <w:p>
      <w:pPr>
        <w:pStyle w:val="2"/>
        <w:spacing w:line="360" w:lineRule="auto"/>
        <w:rPr>
          <w:rFonts w:hint="default" w:ascii="Times New Roman" w:hAnsi="Times New Roman" w:eastAsia="宋体" w:cs="Times New Roman"/>
          <w:color w:val="000000"/>
          <w:kern w:val="2"/>
          <w:sz w:val="24"/>
          <w:szCs w:val="20"/>
          <w:lang w:val="en-US" w:eastAsia="zh-CN" w:bidi="ar"/>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jc w:val="center"/>
        <w:rPr>
          <w:rFonts w:hint="default"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color w:val="FF0000"/>
          <w:sz w:val="21"/>
        </w:rPr>
        <mc:AlternateContent>
          <mc:Choice Requires="wps">
            <w:drawing>
              <wp:anchor distT="0" distB="0" distL="114300" distR="114300" simplePos="0" relativeHeight="251661312" behindDoc="0" locked="0" layoutInCell="1" allowOverlap="1">
                <wp:simplePos x="0" y="0"/>
                <wp:positionH relativeFrom="column">
                  <wp:posOffset>2783205</wp:posOffset>
                </wp:positionH>
                <wp:positionV relativeFrom="paragraph">
                  <wp:posOffset>1360170</wp:posOffset>
                </wp:positionV>
                <wp:extent cx="676910" cy="333375"/>
                <wp:effectExtent l="43815" t="4445" r="22225" b="214630"/>
                <wp:wrapNone/>
                <wp:docPr id="119" name="矩形标注 119"/>
                <wp:cNvGraphicFramePr/>
                <a:graphic xmlns:a="http://schemas.openxmlformats.org/drawingml/2006/main">
                  <a:graphicData uri="http://schemas.microsoft.com/office/word/2010/wordprocessingShape">
                    <wps:wsp>
                      <wps:cNvSpPr/>
                      <wps:spPr>
                        <a:xfrm>
                          <a:off x="0" y="0"/>
                          <a:ext cx="676910" cy="333375"/>
                        </a:xfrm>
                        <a:prstGeom prst="wedgeRectCallout">
                          <a:avLst>
                            <a:gd name="adj1" fmla="val -53843"/>
                            <a:gd name="adj2" fmla="val 107713"/>
                          </a:avLst>
                        </a:prstGeom>
                        <a:solidFill>
                          <a:srgbClr val="FF0000"/>
                        </a:solidFill>
                        <a:ln w="9525" cap="flat" cmpd="sng">
                          <a:solidFill>
                            <a:srgbClr val="000000"/>
                          </a:solidFill>
                          <a:prstDash val="solid"/>
                          <a:miter/>
                          <a:headEnd type="none" w="med" len="med"/>
                          <a:tailEnd type="none" w="med" len="med"/>
                        </a:ln>
                      </wps:spPr>
                      <wps:txbx>
                        <w:txbxContent>
                          <w:p>
                            <w:pPr>
                              <w:rPr>
                                <w:b/>
                                <w:bCs w:val="0"/>
                                <w:sz w:val="21"/>
                                <w:szCs w:val="21"/>
                              </w:rPr>
                            </w:pPr>
                            <w:r>
                              <w:rPr>
                                <w:rFonts w:hint="eastAsia" w:cs="Times New Roman"/>
                                <w:b/>
                                <w:bCs w:val="0"/>
                                <w:snapToGrid w:val="0"/>
                                <w:sz w:val="21"/>
                                <w:szCs w:val="21"/>
                                <w:lang w:val="en-US" w:eastAsia="zh-CN" w:bidi="ar"/>
                              </w:rPr>
                              <w:t>本项目</w:t>
                            </w:r>
                          </w:p>
                        </w:txbxContent>
                      </wps:txbx>
                      <wps:bodyPr upright="1"/>
                    </wps:wsp>
                  </a:graphicData>
                </a:graphic>
              </wp:anchor>
            </w:drawing>
          </mc:Choice>
          <mc:Fallback>
            <w:pict>
              <v:shape id="_x0000_s1026" o:spid="_x0000_s1026" o:spt="61" type="#_x0000_t61" style="position:absolute;left:0pt;margin-left:219.15pt;margin-top:107.1pt;height:26.25pt;width:53.3pt;z-index:251661312;mso-width-relative:page;mso-height-relative:page;" fillcolor="#FF0000" filled="t" stroked="t" coordsize="21600,21600" o:gfxdata="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Zv0ct2QAAAAsBAAAPAAAAAAAAAAEAIAAAACIAAABkcnMv&#10;ZG93bnJldi54bWxQSwECFAAUAAAACACHTuJAx/hxKDsCAACRBAAADgAAAAAAAAABACAAAAAoAQAA&#10;ZHJzL2Uyb0RvYy54bWxQSwUGAAAAAAYABgBZAQAA1QUAAAAA&#10;" adj="-830,34066">
                <v:fill on="t" focussize="0,0"/>
                <v:stroke color="#000000" joinstyle="miter"/>
                <v:imagedata o:title=""/>
                <o:lock v:ext="edit" aspectratio="f"/>
                <v:textbox>
                  <w:txbxContent>
                    <w:p>
                      <w:pPr>
                        <w:rPr>
                          <w:b/>
                          <w:bCs w:val="0"/>
                          <w:sz w:val="21"/>
                          <w:szCs w:val="21"/>
                        </w:rPr>
                      </w:pPr>
                      <w:r>
                        <w:rPr>
                          <w:rFonts w:hint="eastAsia" w:cs="Times New Roman"/>
                          <w:b/>
                          <w:bCs w:val="0"/>
                          <w:snapToGrid w:val="0"/>
                          <w:sz w:val="21"/>
                          <w:szCs w:val="21"/>
                          <w:lang w:val="en-US" w:eastAsia="zh-CN" w:bidi="ar"/>
                        </w:rPr>
                        <w:t>本项目</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682816" behindDoc="0" locked="0" layoutInCell="1" allowOverlap="1">
                <wp:simplePos x="0" y="0"/>
                <wp:positionH relativeFrom="column">
                  <wp:posOffset>3010535</wp:posOffset>
                </wp:positionH>
                <wp:positionV relativeFrom="paragraph">
                  <wp:posOffset>5355590</wp:posOffset>
                </wp:positionV>
                <wp:extent cx="3185160" cy="476250"/>
                <wp:effectExtent l="0" t="0" r="0" b="0"/>
                <wp:wrapNone/>
                <wp:docPr id="25" name="文本框 25"/>
                <wp:cNvGraphicFramePr/>
                <a:graphic xmlns:a="http://schemas.openxmlformats.org/drawingml/2006/main">
                  <a:graphicData uri="http://schemas.microsoft.com/office/word/2010/wordprocessingShape">
                    <wps:wsp>
                      <wps:cNvSpPr txBox="1"/>
                      <wps:spPr>
                        <a:xfrm>
                          <a:off x="3448050" y="6498590"/>
                          <a:ext cx="3185160"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sz w:val="28"/>
                                <w:szCs w:val="36"/>
                                <w:lang w:val="en-US" w:eastAsia="zh-CN"/>
                              </w:rPr>
                            </w:pPr>
                            <w:r>
                              <w:rPr>
                                <w:rFonts w:hint="eastAsia"/>
                                <w:b/>
                                <w:bCs/>
                                <w:sz w:val="28"/>
                                <w:szCs w:val="36"/>
                                <w:lang w:eastAsia="zh-CN"/>
                              </w:rPr>
                              <w:t>附图一</w:t>
                            </w:r>
                            <w:r>
                              <w:rPr>
                                <w:rFonts w:hint="eastAsia"/>
                                <w:b/>
                                <w:bCs/>
                                <w:sz w:val="28"/>
                                <w:szCs w:val="36"/>
                                <w:lang w:val="en-US" w:eastAsia="zh-CN"/>
                              </w:rPr>
                              <w:t xml:space="preserve"> 项目位置图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05pt;margin-top:421.7pt;height:37.5pt;width:250.8pt;z-index:251682816;mso-width-relative:page;mso-height-relative:page;" filled="f" stroked="f" coordsize="21600,21600" o:gfxdata="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Ql75SdwAAAALAQAADwAAAAAAAAAB&#10;ACAAAAAiAAAAZHJzL2Rvd25yZXYueG1sUEsBAhQAFAAAAAgAh07iQP9b9rNFAgAAdAQAAA4AAAAA&#10;AAAAAQAgAAAAKwEAAGRycy9lMm9Eb2MueG1sUEsFBgAAAAAGAAYAWQEAAOIFAAAAAA==&#10;">
                <v:fill on="f" focussize="0,0"/>
                <v:stroke on="f" weight="0.5pt"/>
                <v:imagedata o:title=""/>
                <o:lock v:ext="edit" aspectratio="f"/>
                <v:textbox>
                  <w:txbxContent>
                    <w:p>
                      <w:pPr>
                        <w:jc w:val="center"/>
                        <w:rPr>
                          <w:rFonts w:hint="default"/>
                          <w:b/>
                          <w:bCs/>
                          <w:sz w:val="28"/>
                          <w:szCs w:val="36"/>
                          <w:lang w:val="en-US" w:eastAsia="zh-CN"/>
                        </w:rPr>
                      </w:pPr>
                      <w:r>
                        <w:rPr>
                          <w:rFonts w:hint="eastAsia"/>
                          <w:b/>
                          <w:bCs/>
                          <w:sz w:val="28"/>
                          <w:szCs w:val="36"/>
                          <w:lang w:eastAsia="zh-CN"/>
                        </w:rPr>
                        <w:t>附图一</w:t>
                      </w:r>
                      <w:r>
                        <w:rPr>
                          <w:rFonts w:hint="eastAsia"/>
                          <w:b/>
                          <w:bCs/>
                          <w:sz w:val="28"/>
                          <w:szCs w:val="36"/>
                          <w:lang w:val="en-US" w:eastAsia="zh-CN"/>
                        </w:rPr>
                        <w:t xml:space="preserve"> 项目位置图</w:t>
                      </w:r>
                    </w:p>
                  </w:txbxContent>
                </v:textbox>
              </v:shape>
            </w:pict>
          </mc:Fallback>
        </mc:AlternateContent>
      </w:r>
      <w:r>
        <w:rPr>
          <w:rFonts w:hint="default" w:ascii="Times New Roman" w:hAnsi="Times New Roman" w:cs="Times New Roman"/>
          <w:color w:val="FF0000"/>
        </w:rPr>
        <w:drawing>
          <wp:inline distT="0" distB="0" distL="114300" distR="114300">
            <wp:extent cx="8521065" cy="5424170"/>
            <wp:effectExtent l="12700" t="12700" r="19685" b="30480"/>
            <wp:docPr id="118" name="图片 46" descr="新乡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46" descr="新乡市"/>
                    <pic:cNvPicPr>
                      <a:picLocks noChangeAspect="1"/>
                    </pic:cNvPicPr>
                  </pic:nvPicPr>
                  <pic:blipFill>
                    <a:blip r:embed="rId107"/>
                    <a:stretch>
                      <a:fillRect/>
                    </a:stretch>
                  </pic:blipFill>
                  <pic:spPr>
                    <a:xfrm>
                      <a:off x="0" y="0"/>
                      <a:ext cx="8521065" cy="5424170"/>
                    </a:xfrm>
                    <a:prstGeom prst="rect">
                      <a:avLst/>
                    </a:prstGeom>
                    <a:noFill/>
                    <a:ln w="12700" cap="flat" cmpd="sng">
                      <a:solidFill>
                        <a:srgbClr val="000000"/>
                      </a:solidFill>
                      <a:prstDash val="solid"/>
                      <a:miter/>
                      <a:headEnd type="none" w="med" len="med"/>
                      <a:tailEnd type="none" w="med" len="med"/>
                    </a:ln>
                  </pic:spPr>
                </pic:pic>
              </a:graphicData>
            </a:graphic>
          </wp:inline>
        </w:drawing>
      </w:r>
    </w:p>
    <w:p>
      <w:pPr>
        <w:jc w:val="center"/>
        <w:rPr>
          <w:rFonts w:hint="default" w:ascii="Times New Roman" w:hAnsi="Times New Roman" w:cs="Times New Roman" w:eastAsiaTheme="minorEastAsia"/>
          <w:lang w:eastAsia="zh-CN"/>
        </w:rPr>
      </w:pPr>
      <w:r>
        <w:rPr>
          <w:rFonts w:hint="default" w:ascii="Times New Roman" w:hAnsi="Times New Roman" w:eastAsia="宋体" w:cs="Times New Roman"/>
          <w:color w:val="auto"/>
          <w:sz w:val="32"/>
          <w:szCs w:val="32"/>
          <w:highlight w:val="yellow"/>
          <w:lang w:eastAsia="zh-CN"/>
        </w:rPr>
        <w:pict>
          <v:shape id="Object 17" o:spid="_x0000_s1028" o:spt="75" type="#_x0000_t75" style="position:absolute;left:0pt;margin-left:4.95pt;margin-top:15.15pt;height:582.75pt;width:413.25pt;z-index:-251651072;mso-width-relative:page;mso-height-relative:page;" o:ole="t" filled="f" o:preferrelative="t" stroked="f" coordsize="21600,21600">
            <v:path/>
            <v:fill on="f" focussize="0,0"/>
            <v:stroke on="f"/>
            <v:imagedata r:id="rId109" o:title=""/>
            <o:lock v:ext="edit" aspectratio="f"/>
          </v:shape>
          <o:OLEObject Type="Embed" ProgID="Visio.Drawing.11" ShapeID="Object 17" DrawAspect="Content" ObjectID="_1468075783" r:id="rId108">
            <o:LockedField>false</o:LockedField>
          </o:OLEObject>
        </w:pict>
      </w:r>
    </w:p>
    <w:p>
      <w:pPr>
        <w:jc w:val="center"/>
        <w:rPr>
          <w:rFonts w:hint="default" w:ascii="Times New Roman" w:hAnsi="Times New Roman" w:cs="Times New Roman" w:eastAsiaTheme="minorEastAsia"/>
          <w:lang w:eastAsia="zh-CN"/>
        </w:rPr>
      </w:pPr>
    </w:p>
    <w:p>
      <w:pPr>
        <w:jc w:val="center"/>
        <w:rPr>
          <w:rFonts w:hint="default" w:ascii="Times New Roman" w:hAnsi="Times New Roman" w:cs="Times New Roman" w:eastAsiaTheme="minorEastAsia"/>
          <w:lang w:eastAsia="zh-CN"/>
        </w:rPr>
      </w:pPr>
    </w:p>
    <w:p>
      <w:pPr>
        <w:jc w:val="center"/>
        <w:rPr>
          <w:rFonts w:hint="default" w:ascii="Times New Roman" w:hAnsi="Times New Roman" w:cs="Times New Roman" w:eastAsiaTheme="minorEastAsia"/>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b/>
          <w:bCs/>
          <w:sz w:val="28"/>
          <w:szCs w:val="36"/>
          <w:lang w:eastAsia="zh-CN"/>
        </w:rPr>
        <w:t>附图二</w:t>
      </w:r>
      <w:r>
        <w:rPr>
          <w:rFonts w:hint="default" w:ascii="Times New Roman" w:hAnsi="Times New Roman" w:cs="Times New Roman"/>
          <w:b/>
          <w:bCs/>
          <w:sz w:val="28"/>
          <w:szCs w:val="36"/>
          <w:lang w:val="en-US" w:eastAsia="zh-CN"/>
        </w:rPr>
        <w:t xml:space="preserve"> 项目厂区平面布置图</w:t>
      </w:r>
    </w:p>
    <w:p>
      <w:pPr>
        <w:rPr>
          <w:rFonts w:hint="default" w:ascii="Times New Roman" w:hAnsi="Times New Roman" w:cs="Times New Roman"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1"/>
          <w:u w:val="none"/>
        </w:rPr>
        <mc:AlternateContent>
          <mc:Choice Requires="wps">
            <w:drawing>
              <wp:anchor distT="0" distB="0" distL="114300" distR="114300" simplePos="0" relativeHeight="251749376" behindDoc="0" locked="0" layoutInCell="1" allowOverlap="1">
                <wp:simplePos x="0" y="0"/>
                <wp:positionH relativeFrom="column">
                  <wp:posOffset>969645</wp:posOffset>
                </wp:positionH>
                <wp:positionV relativeFrom="paragraph">
                  <wp:posOffset>8481695</wp:posOffset>
                </wp:positionV>
                <wp:extent cx="3744595" cy="47625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374459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8"/>
                                <w:szCs w:val="36"/>
                                <w:lang w:eastAsia="zh-CN"/>
                              </w:rPr>
                              <w:t>附图三</w:t>
                            </w:r>
                            <w:r>
                              <w:rPr>
                                <w:rFonts w:hint="eastAsia"/>
                                <w:b/>
                                <w:bCs/>
                                <w:sz w:val="28"/>
                                <w:szCs w:val="36"/>
                                <w:lang w:val="en-US" w:eastAsia="zh-CN"/>
                              </w:rPr>
                              <w:t xml:space="preserve"> 清洁生产审核小组成立及现场宣传图</w:t>
                            </w:r>
                          </w:p>
                          <w:p>
                            <w:pPr>
                              <w:jc w:val="center"/>
                              <w:rPr>
                                <w:rFonts w:hint="default"/>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35pt;margin-top:667.85pt;height:37.5pt;width:294.85pt;z-index:251749376;mso-width-relative:page;mso-height-relative:page;" filled="f" stroked="f" coordsize="21600,21600" o:gfxdata="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FAx+D3AAAAA0BAAAPAAAAAAAAAAEAIAAAACIA&#10;AABkcnMvZG93bnJldi54bWxQSwECFAAUAAAACACHTuJAMBcPhz4CAABqBAAADgAAAAAAAAABACAA&#10;AAArAQAAZHJzL2Uyb0RvYy54bWxQSwUGAAAAAAYABgBZAQAA2wUAAAAA&#10;">
                <v:fill on="f" focussize="0,0"/>
                <v:stroke on="f" weight="0.5pt"/>
                <v:imagedata o:title=""/>
                <o:lock v:ext="edit" aspectratio="f"/>
                <v:textbox>
                  <w:txbxContent>
                    <w:p>
                      <w:pPr>
                        <w:keepNext w:val="0"/>
                        <w:keepLines w:val="0"/>
                        <w:widowControl/>
                        <w:suppressLineNumbers w:val="0"/>
                        <w:jc w:val="left"/>
                      </w:pPr>
                      <w:r>
                        <w:rPr>
                          <w:rFonts w:hint="eastAsia"/>
                          <w:b/>
                          <w:bCs/>
                          <w:sz w:val="28"/>
                          <w:szCs w:val="36"/>
                          <w:lang w:eastAsia="zh-CN"/>
                        </w:rPr>
                        <w:t>附图三</w:t>
                      </w:r>
                      <w:r>
                        <w:rPr>
                          <w:rFonts w:hint="eastAsia"/>
                          <w:b/>
                          <w:bCs/>
                          <w:sz w:val="28"/>
                          <w:szCs w:val="36"/>
                          <w:lang w:val="en-US" w:eastAsia="zh-CN"/>
                        </w:rPr>
                        <w:t xml:space="preserve"> 清洁生产审核小组成立及现场宣传图</w:t>
                      </w:r>
                    </w:p>
                    <w:p>
                      <w:pPr>
                        <w:jc w:val="center"/>
                        <w:rPr>
                          <w:rFonts w:hint="default"/>
                          <w:b/>
                          <w:bCs/>
                          <w:sz w:val="28"/>
                          <w:szCs w:val="36"/>
                          <w:lang w:val="en-US" w:eastAsia="zh-CN"/>
                        </w:rPr>
                      </w:pPr>
                    </w:p>
                  </w:txbxContent>
                </v:textbox>
              </v:shape>
            </w:pict>
          </mc:Fallback>
        </mc:AlternateContent>
      </w:r>
      <w:r>
        <w:rPr>
          <w:rFonts w:hint="default" w:ascii="Times New Roman" w:hAnsi="Times New Roman" w:cs="Times New Roman" w:eastAsiaTheme="minorEastAsia"/>
          <w:lang w:val="en-US" w:eastAsia="zh-CN"/>
        </w:rPr>
        <w:drawing>
          <wp:anchor distT="0" distB="0" distL="114300" distR="114300" simplePos="0" relativeHeight="251748352" behindDoc="0" locked="0" layoutInCell="1" allowOverlap="1">
            <wp:simplePos x="0" y="0"/>
            <wp:positionH relativeFrom="column">
              <wp:posOffset>-9525</wp:posOffset>
            </wp:positionH>
            <wp:positionV relativeFrom="paragraph">
              <wp:posOffset>3924300</wp:posOffset>
            </wp:positionV>
            <wp:extent cx="5617210" cy="3916680"/>
            <wp:effectExtent l="0" t="0" r="2540" b="7620"/>
            <wp:wrapNone/>
            <wp:docPr id="111" name="图片 111" descr="8f15c1d5f9b720c5f5b7196a4ebe5f3"/>
            <wp:cNvGraphicFramePr/>
            <a:graphic xmlns:a="http://schemas.openxmlformats.org/drawingml/2006/main">
              <a:graphicData uri="http://schemas.openxmlformats.org/drawingml/2006/picture">
                <pic:pic xmlns:pic="http://schemas.openxmlformats.org/drawingml/2006/picture">
                  <pic:nvPicPr>
                    <pic:cNvPr id="111" name="图片 111" descr="8f15c1d5f9b720c5f5b7196a4ebe5f3"/>
                    <pic:cNvPicPr/>
                  </pic:nvPicPr>
                  <pic:blipFill>
                    <a:blip r:embed="rId110"/>
                    <a:stretch>
                      <a:fillRect/>
                    </a:stretch>
                  </pic:blipFill>
                  <pic:spPr>
                    <a:xfrm>
                      <a:off x="0" y="0"/>
                      <a:ext cx="5617210" cy="3916680"/>
                    </a:xfrm>
                    <a:prstGeom prst="rect">
                      <a:avLst/>
                    </a:prstGeom>
                  </pic:spPr>
                </pic:pic>
              </a:graphicData>
            </a:graphic>
          </wp:anchor>
        </w:drawing>
      </w:r>
      <w:r>
        <w:rPr>
          <w:rFonts w:hint="default" w:ascii="Times New Roman" w:hAnsi="Times New Roman" w:cs="Times New Roman" w:eastAsiaTheme="minorEastAsia"/>
          <w:lang w:val="en-US" w:eastAsia="zh-CN"/>
        </w:rPr>
        <w:drawing>
          <wp:inline distT="0" distB="0" distL="114300" distR="114300">
            <wp:extent cx="5608320" cy="3849370"/>
            <wp:effectExtent l="0" t="0" r="11430" b="17780"/>
            <wp:docPr id="86" name="图片 86" descr="d61147ebc9a9d0aef4d6d14d1a8896b"/>
            <wp:cNvGraphicFramePr/>
            <a:graphic xmlns:a="http://schemas.openxmlformats.org/drawingml/2006/main">
              <a:graphicData uri="http://schemas.openxmlformats.org/drawingml/2006/picture">
                <pic:pic xmlns:pic="http://schemas.openxmlformats.org/drawingml/2006/picture">
                  <pic:nvPicPr>
                    <pic:cNvPr id="86" name="图片 86" descr="d61147ebc9a9d0aef4d6d14d1a8896b"/>
                    <pic:cNvPicPr/>
                  </pic:nvPicPr>
                  <pic:blipFill>
                    <a:blip r:embed="rId111"/>
                    <a:stretch>
                      <a:fillRect/>
                    </a:stretch>
                  </pic:blipFill>
                  <pic:spPr>
                    <a:xfrm>
                      <a:off x="0" y="0"/>
                      <a:ext cx="5608320" cy="3849370"/>
                    </a:xfrm>
                    <a:prstGeom prst="rect">
                      <a:avLst/>
                    </a:prstGeom>
                  </pic:spPr>
                </pic:pic>
              </a:graphicData>
            </a:graphic>
          </wp:inline>
        </w:drawing>
      </w:r>
    </w:p>
    <w:p>
      <w:pPr>
        <w:jc w:val="center"/>
        <w:rPr>
          <w:rFonts w:hint="default" w:ascii="Times New Roman" w:hAnsi="Times New Roman" w:cs="Times New Roman"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1"/>
          <w:u w:val="none"/>
        </w:rPr>
        <mc:AlternateContent>
          <mc:Choice Requires="wps">
            <w:drawing>
              <wp:anchor distT="0" distB="0" distL="114300" distR="114300" simplePos="0" relativeHeight="251750400" behindDoc="0" locked="0" layoutInCell="1" allowOverlap="1">
                <wp:simplePos x="0" y="0"/>
                <wp:positionH relativeFrom="column">
                  <wp:posOffset>588645</wp:posOffset>
                </wp:positionH>
                <wp:positionV relativeFrom="paragraph">
                  <wp:posOffset>8491220</wp:posOffset>
                </wp:positionV>
                <wp:extent cx="4411345" cy="47625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441134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8"/>
                                <w:szCs w:val="36"/>
                                <w:lang w:eastAsia="zh-CN"/>
                              </w:rPr>
                              <w:t>附图三（附）</w:t>
                            </w:r>
                            <w:r>
                              <w:rPr>
                                <w:rFonts w:hint="eastAsia"/>
                                <w:b/>
                                <w:bCs/>
                                <w:sz w:val="28"/>
                                <w:szCs w:val="36"/>
                                <w:lang w:val="en-US" w:eastAsia="zh-CN"/>
                              </w:rPr>
                              <w:t xml:space="preserve"> 宣传会产生的管理制度和激励制度</w:t>
                            </w:r>
                          </w:p>
                          <w:p>
                            <w:pPr>
                              <w:jc w:val="center"/>
                              <w:rPr>
                                <w:rFonts w:hint="default"/>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35pt;margin-top:668.6pt;height:37.5pt;width:347.35pt;z-index:251750400;mso-width-relative:page;mso-height-relative:page;" filled="f" stroked="f" coordsize="21600,21600" o:gfxdata="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IQJy9XcAAAADAEAAA8AAAAAAAAAAQAgAAAAIgAA&#10;AGRycy9kb3ducmV2LnhtbFBLAQIUABQAAAAIAIdO4kAuYCg/PQIAAGoEAAAOAAAAAAAAAAEAIAAA&#10;ACsBAABkcnMvZTJvRG9jLnhtbFBLBQYAAAAABgAGAFkBAADaBQAAAAA=&#10;">
                <v:fill on="f" focussize="0,0"/>
                <v:stroke on="f" weight="0.5pt"/>
                <v:imagedata o:title=""/>
                <o:lock v:ext="edit" aspectratio="f"/>
                <v:textbox>
                  <w:txbxContent>
                    <w:p>
                      <w:pPr>
                        <w:keepNext w:val="0"/>
                        <w:keepLines w:val="0"/>
                        <w:widowControl/>
                        <w:suppressLineNumbers w:val="0"/>
                        <w:jc w:val="left"/>
                      </w:pPr>
                      <w:r>
                        <w:rPr>
                          <w:rFonts w:hint="eastAsia"/>
                          <w:b/>
                          <w:bCs/>
                          <w:sz w:val="28"/>
                          <w:szCs w:val="36"/>
                          <w:lang w:eastAsia="zh-CN"/>
                        </w:rPr>
                        <w:t>附图三（附）</w:t>
                      </w:r>
                      <w:r>
                        <w:rPr>
                          <w:rFonts w:hint="eastAsia"/>
                          <w:b/>
                          <w:bCs/>
                          <w:sz w:val="28"/>
                          <w:szCs w:val="36"/>
                          <w:lang w:val="en-US" w:eastAsia="zh-CN"/>
                        </w:rPr>
                        <w:t xml:space="preserve"> 宣传会产生的管理制度和激励制度</w:t>
                      </w:r>
                    </w:p>
                    <w:p>
                      <w:pPr>
                        <w:jc w:val="center"/>
                        <w:rPr>
                          <w:rFonts w:hint="default"/>
                          <w:b/>
                          <w:bCs/>
                          <w:sz w:val="28"/>
                          <w:szCs w:val="36"/>
                          <w:lang w:val="en-US" w:eastAsia="zh-CN"/>
                        </w:rPr>
                      </w:pPr>
                    </w:p>
                  </w:txbxContent>
                </v:textbox>
              </v:shape>
            </w:pict>
          </mc:Fallback>
        </mc:AlternateContent>
      </w:r>
      <w:r>
        <w:rPr>
          <w:rFonts w:hint="default" w:ascii="Times New Roman" w:hAnsi="Times New Roman" w:cs="Times New Roman" w:eastAsiaTheme="minorEastAsia"/>
          <w:lang w:eastAsia="zh-CN"/>
        </w:rPr>
        <w:drawing>
          <wp:inline distT="0" distB="0" distL="114300" distR="114300">
            <wp:extent cx="3795395" cy="3593465"/>
            <wp:effectExtent l="0" t="0" r="14605" b="6985"/>
            <wp:docPr id="113" name="图片 113" descr="f29cbaf27da3e5c45fbcdaa563415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f29cbaf27da3e5c45fbcdaa563415bc"/>
                    <pic:cNvPicPr>
                      <a:picLocks noChangeAspect="1"/>
                    </pic:cNvPicPr>
                  </pic:nvPicPr>
                  <pic:blipFill>
                    <a:blip r:embed="rId112"/>
                    <a:srcRect l="3178" t="14097" r="6357" b="26580"/>
                    <a:stretch>
                      <a:fillRect/>
                    </a:stretch>
                  </pic:blipFill>
                  <pic:spPr>
                    <a:xfrm>
                      <a:off x="0" y="0"/>
                      <a:ext cx="3795395" cy="3593465"/>
                    </a:xfrm>
                    <a:prstGeom prst="rect">
                      <a:avLst/>
                    </a:prstGeom>
                  </pic:spPr>
                </pic:pic>
              </a:graphicData>
            </a:graphic>
          </wp:inline>
        </w:drawing>
      </w:r>
      <w:r>
        <w:rPr>
          <w:rFonts w:hint="default" w:ascii="Times New Roman" w:hAnsi="Times New Roman" w:cs="Times New Roman" w:eastAsiaTheme="minorEastAsia"/>
          <w:lang w:eastAsia="zh-CN"/>
        </w:rPr>
        <w:drawing>
          <wp:inline distT="0" distB="0" distL="114300" distR="114300">
            <wp:extent cx="4195445" cy="3948430"/>
            <wp:effectExtent l="0" t="0" r="13970" b="14605"/>
            <wp:docPr id="114" name="图片 114" descr="b1650bd29129a1631763ff4d089df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b1650bd29129a1631763ff4d089df62"/>
                    <pic:cNvPicPr>
                      <a:picLocks noChangeAspect="1"/>
                    </pic:cNvPicPr>
                  </pic:nvPicPr>
                  <pic:blipFill>
                    <a:blip r:embed="rId113"/>
                    <a:srcRect t="47636" b="21630"/>
                    <a:stretch>
                      <a:fillRect/>
                    </a:stretch>
                  </pic:blipFill>
                  <pic:spPr>
                    <a:xfrm rot="16200000">
                      <a:off x="0" y="0"/>
                      <a:ext cx="4195445" cy="3948430"/>
                    </a:xfrm>
                    <a:prstGeom prst="rect">
                      <a:avLst/>
                    </a:prstGeom>
                  </pic:spPr>
                </pic:pic>
              </a:graphicData>
            </a:graphic>
          </wp:inline>
        </w:drawing>
      </w:r>
    </w:p>
    <w:p>
      <w:pPr>
        <w:jc w:val="center"/>
        <w:rPr>
          <w:rFonts w:hint="default" w:ascii="Times New Roman" w:hAnsi="Times New Roman" w:cs="Times New Roman"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1"/>
          <w:u w:val="none"/>
        </w:rPr>
        <mc:AlternateContent>
          <mc:Choice Requires="wps">
            <w:drawing>
              <wp:anchor distT="0" distB="0" distL="114300" distR="114300" simplePos="0" relativeHeight="251751424" behindDoc="0" locked="0" layoutInCell="1" allowOverlap="1">
                <wp:simplePos x="0" y="0"/>
                <wp:positionH relativeFrom="column">
                  <wp:posOffset>676910</wp:posOffset>
                </wp:positionH>
                <wp:positionV relativeFrom="paragraph">
                  <wp:posOffset>8337550</wp:posOffset>
                </wp:positionV>
                <wp:extent cx="3744595" cy="47625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374459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center"/>
                              <w:rPr>
                                <w:rFonts w:hint="default" w:ascii="Times New Roman" w:hAnsi="Times New Roman" w:cs="Times New Roman"/>
                              </w:rPr>
                            </w:pPr>
                            <w:r>
                              <w:rPr>
                                <w:rFonts w:hint="default" w:ascii="Times New Roman" w:hAnsi="Times New Roman" w:cs="Times New Roman"/>
                                <w:b/>
                                <w:bCs/>
                                <w:sz w:val="28"/>
                                <w:szCs w:val="36"/>
                                <w:lang w:eastAsia="zh-CN"/>
                              </w:rPr>
                              <w:t>附图</w:t>
                            </w:r>
                            <w:r>
                              <w:rPr>
                                <w:rFonts w:hint="eastAsia" w:ascii="Times New Roman" w:hAnsi="Times New Roman" w:cs="Times New Roman"/>
                                <w:b/>
                                <w:bCs/>
                                <w:sz w:val="28"/>
                                <w:szCs w:val="36"/>
                                <w:lang w:eastAsia="zh-CN"/>
                              </w:rPr>
                              <w:t>四</w:t>
                            </w:r>
                            <w:r>
                              <w:rPr>
                                <w:rFonts w:hint="default" w:ascii="Times New Roman" w:hAnsi="Times New Roman" w:cs="Times New Roman"/>
                                <w:b/>
                                <w:bCs/>
                                <w:sz w:val="28"/>
                                <w:szCs w:val="36"/>
                                <w:lang w:val="en-US" w:eastAsia="zh-CN"/>
                              </w:rPr>
                              <w:t xml:space="preserve"> 中高费方案F</w:t>
                            </w:r>
                            <w:r>
                              <w:rPr>
                                <w:rFonts w:hint="eastAsia" w:ascii="Times New Roman" w:hAnsi="Times New Roman" w:cs="Times New Roman"/>
                                <w:b/>
                                <w:bCs/>
                                <w:sz w:val="28"/>
                                <w:szCs w:val="36"/>
                                <w:lang w:val="en-US" w:eastAsia="zh-CN"/>
                              </w:rPr>
                              <w:t>19</w:t>
                            </w:r>
                            <w:r>
                              <w:rPr>
                                <w:rFonts w:hint="default" w:ascii="Times New Roman" w:hAnsi="Times New Roman" w:cs="Times New Roman"/>
                                <w:b/>
                                <w:bCs/>
                                <w:sz w:val="28"/>
                                <w:szCs w:val="36"/>
                                <w:lang w:val="en-US" w:eastAsia="zh-CN"/>
                              </w:rPr>
                              <w:t>落实情况</w:t>
                            </w:r>
                            <w:r>
                              <w:rPr>
                                <w:rFonts w:hint="eastAsia" w:ascii="Times New Roman" w:hAnsi="Times New Roman" w:cs="Times New Roman"/>
                                <w:b/>
                                <w:bCs/>
                                <w:sz w:val="28"/>
                                <w:szCs w:val="36"/>
                                <w:lang w:val="en-US" w:eastAsia="zh-CN"/>
                              </w:rPr>
                              <w:t>图</w:t>
                            </w:r>
                          </w:p>
                          <w:p>
                            <w:pPr>
                              <w:jc w:val="center"/>
                              <w:rPr>
                                <w:rFonts w:hint="default"/>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3pt;margin-top:656.5pt;height:37.5pt;width:294.85pt;z-index:251751424;mso-width-relative:page;mso-height-relative:page;" filled="f" stroked="f" coordsize="21600,21600" o:gfxdata="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E+psEDbAAAADQEAAA8AAAAAAAAAAQAgAAAAIgAA&#10;AGRycy9kb3ducmV2LnhtbFBLAQIUABQAAAAIAIdO4kDtJqzRPgIAAGoEAAAOAAAAAAAAAAEAIAAA&#10;ACoBAABkcnMvZTJvRG9jLnhtbFBLBQYAAAAABgAGAFkBAADaBQAAAAA=&#10;">
                <v:fill on="f" focussize="0,0"/>
                <v:stroke on="f" weight="0.5pt"/>
                <v:imagedata o:title=""/>
                <o:lock v:ext="edit" aspectratio="f"/>
                <v:textbox>
                  <w:txbxContent>
                    <w:p>
                      <w:pPr>
                        <w:keepNext w:val="0"/>
                        <w:keepLines w:val="0"/>
                        <w:widowControl/>
                        <w:suppressLineNumbers w:val="0"/>
                        <w:jc w:val="center"/>
                        <w:rPr>
                          <w:rFonts w:hint="default" w:ascii="Times New Roman" w:hAnsi="Times New Roman" w:cs="Times New Roman"/>
                        </w:rPr>
                      </w:pPr>
                      <w:r>
                        <w:rPr>
                          <w:rFonts w:hint="default" w:ascii="Times New Roman" w:hAnsi="Times New Roman" w:cs="Times New Roman"/>
                          <w:b/>
                          <w:bCs/>
                          <w:sz w:val="28"/>
                          <w:szCs w:val="36"/>
                          <w:lang w:eastAsia="zh-CN"/>
                        </w:rPr>
                        <w:t>附图</w:t>
                      </w:r>
                      <w:r>
                        <w:rPr>
                          <w:rFonts w:hint="eastAsia" w:ascii="Times New Roman" w:hAnsi="Times New Roman" w:cs="Times New Roman"/>
                          <w:b/>
                          <w:bCs/>
                          <w:sz w:val="28"/>
                          <w:szCs w:val="36"/>
                          <w:lang w:eastAsia="zh-CN"/>
                        </w:rPr>
                        <w:t>四</w:t>
                      </w:r>
                      <w:r>
                        <w:rPr>
                          <w:rFonts w:hint="default" w:ascii="Times New Roman" w:hAnsi="Times New Roman" w:cs="Times New Roman"/>
                          <w:b/>
                          <w:bCs/>
                          <w:sz w:val="28"/>
                          <w:szCs w:val="36"/>
                          <w:lang w:val="en-US" w:eastAsia="zh-CN"/>
                        </w:rPr>
                        <w:t xml:space="preserve"> 中高费方案F</w:t>
                      </w:r>
                      <w:r>
                        <w:rPr>
                          <w:rFonts w:hint="eastAsia" w:ascii="Times New Roman" w:hAnsi="Times New Roman" w:cs="Times New Roman"/>
                          <w:b/>
                          <w:bCs/>
                          <w:sz w:val="28"/>
                          <w:szCs w:val="36"/>
                          <w:lang w:val="en-US" w:eastAsia="zh-CN"/>
                        </w:rPr>
                        <w:t>19</w:t>
                      </w:r>
                      <w:r>
                        <w:rPr>
                          <w:rFonts w:hint="default" w:ascii="Times New Roman" w:hAnsi="Times New Roman" w:cs="Times New Roman"/>
                          <w:b/>
                          <w:bCs/>
                          <w:sz w:val="28"/>
                          <w:szCs w:val="36"/>
                          <w:lang w:val="en-US" w:eastAsia="zh-CN"/>
                        </w:rPr>
                        <w:t>落实情况</w:t>
                      </w:r>
                      <w:r>
                        <w:rPr>
                          <w:rFonts w:hint="eastAsia" w:ascii="Times New Roman" w:hAnsi="Times New Roman" w:cs="Times New Roman"/>
                          <w:b/>
                          <w:bCs/>
                          <w:sz w:val="28"/>
                          <w:szCs w:val="36"/>
                          <w:lang w:val="en-US" w:eastAsia="zh-CN"/>
                        </w:rPr>
                        <w:t>图</w:t>
                      </w:r>
                    </w:p>
                    <w:p>
                      <w:pPr>
                        <w:jc w:val="center"/>
                        <w:rPr>
                          <w:rFonts w:hint="default"/>
                          <w:b/>
                          <w:bCs/>
                          <w:sz w:val="28"/>
                          <w:szCs w:val="36"/>
                          <w:lang w:val="en-US" w:eastAsia="zh-CN"/>
                        </w:rPr>
                      </w:pPr>
                    </w:p>
                  </w:txbxContent>
                </v:textbox>
              </v:shape>
            </w:pict>
          </mc:Fallback>
        </mc:AlternateContent>
      </w:r>
      <w:r>
        <w:rPr>
          <w:rFonts w:hint="default" w:ascii="Times New Roman" w:hAnsi="Times New Roman" w:cs="Times New Roman" w:eastAsiaTheme="minorEastAsia"/>
          <w:lang w:val="en-US" w:eastAsia="zh-CN"/>
        </w:rPr>
        <w:drawing>
          <wp:anchor distT="0" distB="0" distL="114300" distR="114300" simplePos="0" relativeHeight="251752448" behindDoc="0" locked="0" layoutInCell="1" allowOverlap="1">
            <wp:simplePos x="0" y="0"/>
            <wp:positionH relativeFrom="column">
              <wp:posOffset>171450</wp:posOffset>
            </wp:positionH>
            <wp:positionV relativeFrom="paragraph">
              <wp:posOffset>3573780</wp:posOffset>
            </wp:positionV>
            <wp:extent cx="4912360" cy="3326765"/>
            <wp:effectExtent l="0" t="0" r="2540" b="6985"/>
            <wp:wrapNone/>
            <wp:docPr id="132" name="图片 132" descr="6f8dfa32cdd03db5232dea7d6a4e928"/>
            <wp:cNvGraphicFramePr/>
            <a:graphic xmlns:a="http://schemas.openxmlformats.org/drawingml/2006/main">
              <a:graphicData uri="http://schemas.openxmlformats.org/drawingml/2006/picture">
                <pic:pic xmlns:pic="http://schemas.openxmlformats.org/drawingml/2006/picture">
                  <pic:nvPicPr>
                    <pic:cNvPr id="132" name="图片 132" descr="6f8dfa32cdd03db5232dea7d6a4e928"/>
                    <pic:cNvPicPr/>
                  </pic:nvPicPr>
                  <pic:blipFill>
                    <a:blip r:embed="rId114"/>
                    <a:stretch>
                      <a:fillRect/>
                    </a:stretch>
                  </pic:blipFill>
                  <pic:spPr>
                    <a:xfrm>
                      <a:off x="0" y="0"/>
                      <a:ext cx="4912360" cy="3326765"/>
                    </a:xfrm>
                    <a:prstGeom prst="rect">
                      <a:avLst/>
                    </a:prstGeom>
                  </pic:spPr>
                </pic:pic>
              </a:graphicData>
            </a:graphic>
          </wp:anchor>
        </w:drawing>
      </w:r>
      <w:r>
        <w:rPr>
          <w:rFonts w:hint="default" w:ascii="Times New Roman" w:hAnsi="Times New Roman" w:cs="Times New Roman"/>
          <w:lang w:val="en-US" w:eastAsia="zh-CN"/>
        </w:rPr>
        <w:drawing>
          <wp:inline distT="0" distB="0" distL="114300" distR="114300">
            <wp:extent cx="2554605" cy="3509645"/>
            <wp:effectExtent l="0" t="0" r="17145" b="14605"/>
            <wp:docPr id="116" name="图片 116" descr="e9cdf969f16746590b0f01434a86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e9cdf969f16746590b0f01434a86193"/>
                    <pic:cNvPicPr>
                      <a:picLocks noChangeAspect="1"/>
                    </pic:cNvPicPr>
                  </pic:nvPicPr>
                  <pic:blipFill>
                    <a:blip r:embed="rId115"/>
                    <a:stretch>
                      <a:fillRect/>
                    </a:stretch>
                  </pic:blipFill>
                  <pic:spPr>
                    <a:xfrm>
                      <a:off x="0" y="0"/>
                      <a:ext cx="2554605" cy="3509645"/>
                    </a:xfrm>
                    <a:prstGeom prst="rect">
                      <a:avLst/>
                    </a:prstGeom>
                  </pic:spPr>
                </pic:pic>
              </a:graphicData>
            </a:graphic>
          </wp:inline>
        </w:drawing>
      </w:r>
      <w:r>
        <w:rPr>
          <w:rFonts w:hint="default" w:ascii="Times New Roman" w:hAnsi="Times New Roman" w:cs="Times New Roman"/>
          <w:lang w:val="en-US" w:eastAsia="zh-CN"/>
        </w:rPr>
        <w:drawing>
          <wp:inline distT="0" distB="0" distL="114300" distR="114300">
            <wp:extent cx="2327910" cy="3512185"/>
            <wp:effectExtent l="0" t="0" r="15240" b="12065"/>
            <wp:docPr id="117" name="图片 117" descr="c57bbcc1bf8bc5f41a0e98991855e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c57bbcc1bf8bc5f41a0e98991855e56"/>
                    <pic:cNvPicPr>
                      <a:picLocks noChangeAspect="1"/>
                    </pic:cNvPicPr>
                  </pic:nvPicPr>
                  <pic:blipFill>
                    <a:blip r:embed="rId116"/>
                    <a:stretch>
                      <a:fillRect/>
                    </a:stretch>
                  </pic:blipFill>
                  <pic:spPr>
                    <a:xfrm>
                      <a:off x="0" y="0"/>
                      <a:ext cx="2327910" cy="3512185"/>
                    </a:xfrm>
                    <a:prstGeom prst="rect">
                      <a:avLst/>
                    </a:prstGeom>
                  </pic:spPr>
                </pic:pic>
              </a:graphicData>
            </a:graphic>
          </wp:inline>
        </w:drawing>
      </w:r>
      <w:r>
        <w:rPr>
          <w:rFonts w:hint="default" w:ascii="Times New Roman" w:hAnsi="Times New Roman" w:cs="Times New Roman"/>
          <w:lang w:val="en-US" w:eastAsia="zh-CN"/>
        </w:rPr>
        <w:br w:type="textWrapping"/>
      </w:r>
    </w:p>
    <w:p>
      <w:pPr>
        <w:rPr>
          <w:rFonts w:hint="default" w:ascii="Times New Roman" w:hAnsi="Times New Roman" w:cs="Times New Roman"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1"/>
          <w:u w:val="none"/>
        </w:rPr>
        <mc:AlternateContent>
          <mc:Choice Requires="wps">
            <w:drawing>
              <wp:anchor distT="0" distB="0" distL="114300" distR="114300" simplePos="0" relativeHeight="251753472" behindDoc="0" locked="0" layoutInCell="1" allowOverlap="1">
                <wp:simplePos x="0" y="0"/>
                <wp:positionH relativeFrom="column">
                  <wp:posOffset>734060</wp:posOffset>
                </wp:positionH>
                <wp:positionV relativeFrom="paragraph">
                  <wp:posOffset>8347075</wp:posOffset>
                </wp:positionV>
                <wp:extent cx="4124960" cy="47625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4124960"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center"/>
                              <w:rPr>
                                <w:rFonts w:hint="default" w:ascii="Times New Roman" w:hAnsi="Times New Roman" w:cs="Times New Roman"/>
                              </w:rPr>
                            </w:pPr>
                            <w:r>
                              <w:rPr>
                                <w:rFonts w:hint="default" w:ascii="Times New Roman" w:hAnsi="Times New Roman" w:cs="Times New Roman"/>
                                <w:b/>
                                <w:bCs/>
                                <w:sz w:val="28"/>
                                <w:szCs w:val="36"/>
                                <w:lang w:eastAsia="zh-CN"/>
                              </w:rPr>
                              <w:t>附图</w:t>
                            </w:r>
                            <w:r>
                              <w:rPr>
                                <w:rFonts w:hint="eastAsia" w:ascii="Times New Roman" w:hAnsi="Times New Roman" w:cs="Times New Roman"/>
                                <w:b/>
                                <w:bCs/>
                                <w:sz w:val="28"/>
                                <w:szCs w:val="36"/>
                                <w:lang w:eastAsia="zh-CN"/>
                              </w:rPr>
                              <w:t>五</w:t>
                            </w:r>
                            <w:r>
                              <w:rPr>
                                <w:rFonts w:hint="default" w:ascii="Times New Roman" w:hAnsi="Times New Roman" w:cs="Times New Roman"/>
                                <w:b/>
                                <w:bCs/>
                                <w:sz w:val="28"/>
                                <w:szCs w:val="36"/>
                                <w:lang w:val="en-US" w:eastAsia="zh-CN"/>
                              </w:rPr>
                              <w:t xml:space="preserve"> 中高费方案F</w:t>
                            </w:r>
                            <w:r>
                              <w:rPr>
                                <w:rFonts w:hint="eastAsia" w:ascii="Times New Roman" w:hAnsi="Times New Roman" w:cs="Times New Roman"/>
                                <w:b/>
                                <w:bCs/>
                                <w:sz w:val="28"/>
                                <w:szCs w:val="36"/>
                                <w:lang w:val="en-US" w:eastAsia="zh-CN"/>
                              </w:rPr>
                              <w:t>20</w:t>
                            </w:r>
                            <w:r>
                              <w:rPr>
                                <w:rFonts w:hint="default" w:ascii="Times New Roman" w:hAnsi="Times New Roman" w:cs="Times New Roman"/>
                                <w:b/>
                                <w:bCs/>
                                <w:sz w:val="28"/>
                                <w:szCs w:val="36"/>
                                <w:lang w:val="en-US" w:eastAsia="zh-CN"/>
                              </w:rPr>
                              <w:t>落实情况</w:t>
                            </w:r>
                            <w:r>
                              <w:rPr>
                                <w:rFonts w:hint="eastAsia" w:ascii="Times New Roman" w:hAnsi="Times New Roman" w:cs="Times New Roman"/>
                                <w:b/>
                                <w:bCs/>
                                <w:sz w:val="28"/>
                                <w:szCs w:val="36"/>
                                <w:lang w:val="en-US" w:eastAsia="zh-CN"/>
                              </w:rPr>
                              <w:t>图</w:t>
                            </w:r>
                          </w:p>
                          <w:p>
                            <w:pPr>
                              <w:jc w:val="center"/>
                              <w:rPr>
                                <w:rFonts w:hint="default"/>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8pt;margin-top:657.25pt;height:37.5pt;width:324.8pt;z-index:251753472;mso-width-relative:page;mso-height-relative:page;" filled="f" stroked="f" coordsize="21600,21600" o:gfxdata="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RLI/i3QAAAA0BAAAPAAAAAAAAAAEAIAAAACIA&#10;AABkcnMvZG93bnJldi54bWxQSwECFAAUAAAACACHTuJAvGsVKT0CAABqBAAADgAAAAAAAAABACAA&#10;AAAsAQAAZHJzL2Uyb0RvYy54bWxQSwUGAAAAAAYABgBZAQAA2wUAAAAA&#10;">
                <v:fill on="f" focussize="0,0"/>
                <v:stroke on="f" weight="0.5pt"/>
                <v:imagedata o:title=""/>
                <o:lock v:ext="edit" aspectratio="f"/>
                <v:textbox>
                  <w:txbxContent>
                    <w:p>
                      <w:pPr>
                        <w:keepNext w:val="0"/>
                        <w:keepLines w:val="0"/>
                        <w:widowControl/>
                        <w:suppressLineNumbers w:val="0"/>
                        <w:jc w:val="center"/>
                        <w:rPr>
                          <w:rFonts w:hint="default" w:ascii="Times New Roman" w:hAnsi="Times New Roman" w:cs="Times New Roman"/>
                        </w:rPr>
                      </w:pPr>
                      <w:r>
                        <w:rPr>
                          <w:rFonts w:hint="default" w:ascii="Times New Roman" w:hAnsi="Times New Roman" w:cs="Times New Roman"/>
                          <w:b/>
                          <w:bCs/>
                          <w:sz w:val="28"/>
                          <w:szCs w:val="36"/>
                          <w:lang w:eastAsia="zh-CN"/>
                        </w:rPr>
                        <w:t>附图</w:t>
                      </w:r>
                      <w:r>
                        <w:rPr>
                          <w:rFonts w:hint="eastAsia" w:ascii="Times New Roman" w:hAnsi="Times New Roman" w:cs="Times New Roman"/>
                          <w:b/>
                          <w:bCs/>
                          <w:sz w:val="28"/>
                          <w:szCs w:val="36"/>
                          <w:lang w:eastAsia="zh-CN"/>
                        </w:rPr>
                        <w:t>五</w:t>
                      </w:r>
                      <w:r>
                        <w:rPr>
                          <w:rFonts w:hint="default" w:ascii="Times New Roman" w:hAnsi="Times New Roman" w:cs="Times New Roman"/>
                          <w:b/>
                          <w:bCs/>
                          <w:sz w:val="28"/>
                          <w:szCs w:val="36"/>
                          <w:lang w:val="en-US" w:eastAsia="zh-CN"/>
                        </w:rPr>
                        <w:t xml:space="preserve"> 中高费方案F</w:t>
                      </w:r>
                      <w:r>
                        <w:rPr>
                          <w:rFonts w:hint="eastAsia" w:ascii="Times New Roman" w:hAnsi="Times New Roman" w:cs="Times New Roman"/>
                          <w:b/>
                          <w:bCs/>
                          <w:sz w:val="28"/>
                          <w:szCs w:val="36"/>
                          <w:lang w:val="en-US" w:eastAsia="zh-CN"/>
                        </w:rPr>
                        <w:t>20</w:t>
                      </w:r>
                      <w:r>
                        <w:rPr>
                          <w:rFonts w:hint="default" w:ascii="Times New Roman" w:hAnsi="Times New Roman" w:cs="Times New Roman"/>
                          <w:b/>
                          <w:bCs/>
                          <w:sz w:val="28"/>
                          <w:szCs w:val="36"/>
                          <w:lang w:val="en-US" w:eastAsia="zh-CN"/>
                        </w:rPr>
                        <w:t>落实情况</w:t>
                      </w:r>
                      <w:r>
                        <w:rPr>
                          <w:rFonts w:hint="eastAsia" w:ascii="Times New Roman" w:hAnsi="Times New Roman" w:cs="Times New Roman"/>
                          <w:b/>
                          <w:bCs/>
                          <w:sz w:val="28"/>
                          <w:szCs w:val="36"/>
                          <w:lang w:val="en-US" w:eastAsia="zh-CN"/>
                        </w:rPr>
                        <w:t>图</w:t>
                      </w:r>
                    </w:p>
                    <w:p>
                      <w:pPr>
                        <w:jc w:val="center"/>
                        <w:rPr>
                          <w:rFonts w:hint="default"/>
                          <w:b/>
                          <w:bCs/>
                          <w:sz w:val="28"/>
                          <w:szCs w:val="36"/>
                          <w:lang w:val="en-US" w:eastAsia="zh-CN"/>
                        </w:rPr>
                      </w:pPr>
                    </w:p>
                  </w:txbxContent>
                </v:textbox>
              </v:shape>
            </w:pict>
          </mc:Fallback>
        </mc:AlternateContent>
      </w:r>
      <w:r>
        <w:rPr>
          <w:rFonts w:hint="default" w:ascii="Times New Roman" w:hAnsi="Times New Roman" w:cs="Times New Roman"/>
          <w:sz w:val="21"/>
          <w:u w:val="none"/>
        </w:rPr>
        <w:drawing>
          <wp:inline distT="0" distB="0" distL="114300" distR="114300">
            <wp:extent cx="5086350" cy="6779260"/>
            <wp:effectExtent l="0" t="0" r="0" b="2540"/>
            <wp:docPr id="35" name="图片 35" descr="f862a04fae3ff03b46ae5632ea235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f862a04fae3ff03b46ae5632ea2355d"/>
                    <pic:cNvPicPr>
                      <a:picLocks noChangeAspect="1"/>
                    </pic:cNvPicPr>
                  </pic:nvPicPr>
                  <pic:blipFill>
                    <a:blip r:embed="rId117"/>
                    <a:stretch>
                      <a:fillRect/>
                    </a:stretch>
                  </pic:blipFill>
                  <pic:spPr>
                    <a:xfrm>
                      <a:off x="0" y="0"/>
                      <a:ext cx="5086350" cy="6779260"/>
                    </a:xfrm>
                    <a:prstGeom prst="rect">
                      <a:avLst/>
                    </a:prstGeom>
                  </pic:spPr>
                </pic:pic>
              </a:graphicData>
            </a:graphic>
          </wp:inline>
        </w:drawing>
      </w:r>
      <w:bookmarkStart w:id="127" w:name="_GoBack"/>
      <w:bookmarkEnd w:id="127"/>
    </w:p>
    <w:p>
      <w:pPr>
        <w:jc w:val="center"/>
        <w:rPr>
          <w:rFonts w:hint="default" w:ascii="Times New Roman" w:hAnsi="Times New Roman" w:cs="Times New Roman"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1"/>
          <w:u w:val="none"/>
        </w:rPr>
        <mc:AlternateContent>
          <mc:Choice Requires="wps">
            <w:drawing>
              <wp:anchor distT="0" distB="0" distL="114300" distR="114300" simplePos="0" relativeHeight="251754496" behindDoc="0" locked="0" layoutInCell="1" allowOverlap="1">
                <wp:simplePos x="0" y="0"/>
                <wp:positionH relativeFrom="column">
                  <wp:posOffset>755650</wp:posOffset>
                </wp:positionH>
                <wp:positionV relativeFrom="paragraph">
                  <wp:posOffset>8365490</wp:posOffset>
                </wp:positionV>
                <wp:extent cx="3744595" cy="47625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374459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center"/>
                              <w:rPr>
                                <w:rFonts w:hint="default" w:ascii="Times New Roman" w:hAnsi="Times New Roman" w:cs="Times New Roman"/>
                                <w:lang w:val="en-US"/>
                              </w:rPr>
                            </w:pPr>
                            <w:r>
                              <w:rPr>
                                <w:rFonts w:hint="default" w:ascii="Times New Roman" w:hAnsi="Times New Roman" w:cs="Times New Roman"/>
                                <w:b/>
                                <w:bCs/>
                                <w:sz w:val="28"/>
                                <w:szCs w:val="36"/>
                                <w:lang w:eastAsia="zh-CN"/>
                              </w:rPr>
                              <w:t>附图</w:t>
                            </w:r>
                            <w:r>
                              <w:rPr>
                                <w:rFonts w:hint="eastAsia" w:ascii="Times New Roman" w:hAnsi="Times New Roman" w:cs="Times New Roman"/>
                                <w:b/>
                                <w:bCs/>
                                <w:sz w:val="28"/>
                                <w:szCs w:val="36"/>
                                <w:lang w:eastAsia="zh-CN"/>
                              </w:rPr>
                              <w:t>六</w:t>
                            </w:r>
                            <w:r>
                              <w:rPr>
                                <w:rFonts w:hint="default" w:ascii="Times New Roman" w:hAnsi="Times New Roman" w:cs="Times New Roman"/>
                                <w:b/>
                                <w:bCs/>
                                <w:sz w:val="28"/>
                                <w:szCs w:val="36"/>
                                <w:lang w:val="en-US" w:eastAsia="zh-CN"/>
                              </w:rPr>
                              <w:t xml:space="preserve"> </w:t>
                            </w:r>
                            <w:r>
                              <w:rPr>
                                <w:rFonts w:hint="eastAsia" w:ascii="Times New Roman" w:hAnsi="Times New Roman" w:cs="Times New Roman"/>
                                <w:b/>
                                <w:bCs/>
                                <w:sz w:val="28"/>
                                <w:szCs w:val="36"/>
                                <w:lang w:val="en-US" w:eastAsia="zh-CN"/>
                              </w:rPr>
                              <w:t>危废暂存间实况图</w:t>
                            </w:r>
                          </w:p>
                          <w:p>
                            <w:pPr>
                              <w:jc w:val="center"/>
                              <w:rPr>
                                <w:rFonts w:hint="default"/>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5pt;margin-top:658.7pt;height:37.5pt;width:294.85pt;z-index:251754496;mso-width-relative:page;mso-height-relative:page;" filled="f" stroked="f" coordsize="21600,21600" o:gfxdata="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GwQsgfdAAAADQEAAA8AAAAAAAAAAQAgAAAAIgAA&#10;AGRycy9kb3ducmV2LnhtbFBLAQIUABQAAAAIAIdO4kDaE5NkPAIAAGoEAAAOAAAAAAAAAAEAIAAA&#10;ACwBAABkcnMvZTJvRG9jLnhtbFBLBQYAAAAABgAGAFkBAADaBQAAAAA=&#10;">
                <v:fill on="f" focussize="0,0"/>
                <v:stroke on="f" weight="0.5pt"/>
                <v:imagedata o:title=""/>
                <o:lock v:ext="edit" aspectratio="f"/>
                <v:textbox>
                  <w:txbxContent>
                    <w:p>
                      <w:pPr>
                        <w:keepNext w:val="0"/>
                        <w:keepLines w:val="0"/>
                        <w:widowControl/>
                        <w:suppressLineNumbers w:val="0"/>
                        <w:jc w:val="center"/>
                        <w:rPr>
                          <w:rFonts w:hint="default" w:ascii="Times New Roman" w:hAnsi="Times New Roman" w:cs="Times New Roman"/>
                          <w:lang w:val="en-US"/>
                        </w:rPr>
                      </w:pPr>
                      <w:r>
                        <w:rPr>
                          <w:rFonts w:hint="default" w:ascii="Times New Roman" w:hAnsi="Times New Roman" w:cs="Times New Roman"/>
                          <w:b/>
                          <w:bCs/>
                          <w:sz w:val="28"/>
                          <w:szCs w:val="36"/>
                          <w:lang w:eastAsia="zh-CN"/>
                        </w:rPr>
                        <w:t>附图</w:t>
                      </w:r>
                      <w:r>
                        <w:rPr>
                          <w:rFonts w:hint="eastAsia" w:ascii="Times New Roman" w:hAnsi="Times New Roman" w:cs="Times New Roman"/>
                          <w:b/>
                          <w:bCs/>
                          <w:sz w:val="28"/>
                          <w:szCs w:val="36"/>
                          <w:lang w:eastAsia="zh-CN"/>
                        </w:rPr>
                        <w:t>六</w:t>
                      </w:r>
                      <w:r>
                        <w:rPr>
                          <w:rFonts w:hint="default" w:ascii="Times New Roman" w:hAnsi="Times New Roman" w:cs="Times New Roman"/>
                          <w:b/>
                          <w:bCs/>
                          <w:sz w:val="28"/>
                          <w:szCs w:val="36"/>
                          <w:lang w:val="en-US" w:eastAsia="zh-CN"/>
                        </w:rPr>
                        <w:t xml:space="preserve"> </w:t>
                      </w:r>
                      <w:r>
                        <w:rPr>
                          <w:rFonts w:hint="eastAsia" w:ascii="Times New Roman" w:hAnsi="Times New Roman" w:cs="Times New Roman"/>
                          <w:b/>
                          <w:bCs/>
                          <w:sz w:val="28"/>
                          <w:szCs w:val="36"/>
                          <w:lang w:val="en-US" w:eastAsia="zh-CN"/>
                        </w:rPr>
                        <w:t>危废暂存间实况图</w:t>
                      </w:r>
                    </w:p>
                    <w:p>
                      <w:pPr>
                        <w:jc w:val="center"/>
                        <w:rPr>
                          <w:rFonts w:hint="default"/>
                          <w:b/>
                          <w:bCs/>
                          <w:sz w:val="28"/>
                          <w:szCs w:val="36"/>
                          <w:lang w:val="en-US" w:eastAsia="zh-CN"/>
                        </w:rPr>
                      </w:pPr>
                    </w:p>
                  </w:txbxContent>
                </v:textbox>
              </v:shape>
            </w:pict>
          </mc:Fallback>
        </mc:AlternateContent>
      </w:r>
      <w:r>
        <w:rPr>
          <w:rFonts w:hint="default" w:ascii="Times New Roman" w:hAnsi="Times New Roman" w:cs="Times New Roman"/>
          <w:sz w:val="21"/>
          <w:u w:val="none"/>
        </w:rPr>
        <w:drawing>
          <wp:inline distT="0" distB="0" distL="114300" distR="114300">
            <wp:extent cx="2607310" cy="3312160"/>
            <wp:effectExtent l="0" t="0" r="2540" b="2540"/>
            <wp:docPr id="134" name="图片 134" descr="8af8360a5016beb565972d41d3e16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8af8360a5016beb565972d41d3e16ca"/>
                    <pic:cNvPicPr>
                      <a:picLocks noChangeAspect="1"/>
                    </pic:cNvPicPr>
                  </pic:nvPicPr>
                  <pic:blipFill>
                    <a:blip r:embed="rId118"/>
                    <a:stretch>
                      <a:fillRect/>
                    </a:stretch>
                  </pic:blipFill>
                  <pic:spPr>
                    <a:xfrm>
                      <a:off x="0" y="0"/>
                      <a:ext cx="2607310" cy="3312160"/>
                    </a:xfrm>
                    <a:prstGeom prst="rect">
                      <a:avLst/>
                    </a:prstGeom>
                  </pic:spPr>
                </pic:pic>
              </a:graphicData>
            </a:graphic>
          </wp:inline>
        </w:drawing>
      </w:r>
      <w:r>
        <w:rPr>
          <w:rFonts w:hint="default" w:ascii="Times New Roman" w:hAnsi="Times New Roman" w:cs="Times New Roman"/>
          <w:sz w:val="21"/>
          <w:u w:val="none"/>
        </w:rPr>
        <w:drawing>
          <wp:inline distT="0" distB="0" distL="114300" distR="114300">
            <wp:extent cx="2606675" cy="3312160"/>
            <wp:effectExtent l="0" t="0" r="3175" b="2540"/>
            <wp:docPr id="135" name="图片 135" descr="8a88e995002f56948072ce3dea1de0f"/>
            <wp:cNvGraphicFramePr/>
            <a:graphic xmlns:a="http://schemas.openxmlformats.org/drawingml/2006/main">
              <a:graphicData uri="http://schemas.openxmlformats.org/drawingml/2006/picture">
                <pic:pic xmlns:pic="http://schemas.openxmlformats.org/drawingml/2006/picture">
                  <pic:nvPicPr>
                    <pic:cNvPr id="135" name="图片 135" descr="8a88e995002f56948072ce3dea1de0f"/>
                    <pic:cNvPicPr/>
                  </pic:nvPicPr>
                  <pic:blipFill>
                    <a:blip r:embed="rId119"/>
                    <a:stretch>
                      <a:fillRect/>
                    </a:stretch>
                  </pic:blipFill>
                  <pic:spPr>
                    <a:xfrm>
                      <a:off x="0" y="0"/>
                      <a:ext cx="2606675" cy="3312160"/>
                    </a:xfrm>
                    <a:prstGeom prst="rect">
                      <a:avLst/>
                    </a:prstGeom>
                  </pic:spPr>
                </pic:pic>
              </a:graphicData>
            </a:graphic>
          </wp:inline>
        </w:drawing>
      </w:r>
      <w:r>
        <w:rPr>
          <w:rFonts w:hint="default" w:ascii="Times New Roman" w:hAnsi="Times New Roman" w:cs="Times New Roman"/>
          <w:sz w:val="21"/>
          <w:u w:val="none"/>
        </w:rPr>
        <w:drawing>
          <wp:inline distT="0" distB="0" distL="114300" distR="114300">
            <wp:extent cx="2606675" cy="3312160"/>
            <wp:effectExtent l="0" t="0" r="3175" b="2540"/>
            <wp:docPr id="136" name="图片 136" descr="ac299ba3b6f79e08f813a8b4c47deba"/>
            <wp:cNvGraphicFramePr/>
            <a:graphic xmlns:a="http://schemas.openxmlformats.org/drawingml/2006/main">
              <a:graphicData uri="http://schemas.openxmlformats.org/drawingml/2006/picture">
                <pic:pic xmlns:pic="http://schemas.openxmlformats.org/drawingml/2006/picture">
                  <pic:nvPicPr>
                    <pic:cNvPr id="136" name="图片 136" descr="ac299ba3b6f79e08f813a8b4c47deba"/>
                    <pic:cNvPicPr/>
                  </pic:nvPicPr>
                  <pic:blipFill>
                    <a:blip r:embed="rId120"/>
                    <a:stretch>
                      <a:fillRect/>
                    </a:stretch>
                  </pic:blipFill>
                  <pic:spPr>
                    <a:xfrm>
                      <a:off x="0" y="0"/>
                      <a:ext cx="2606675" cy="3312160"/>
                    </a:xfrm>
                    <a:prstGeom prst="rect">
                      <a:avLst/>
                    </a:prstGeom>
                  </pic:spPr>
                </pic:pic>
              </a:graphicData>
            </a:graphic>
          </wp:inline>
        </w:drawing>
      </w:r>
      <w:r>
        <w:rPr>
          <w:rFonts w:hint="default" w:ascii="Times New Roman" w:hAnsi="Times New Roman" w:cs="Times New Roman"/>
          <w:sz w:val="21"/>
          <w:u w:val="none"/>
        </w:rPr>
        <w:drawing>
          <wp:inline distT="0" distB="0" distL="114300" distR="114300">
            <wp:extent cx="2606675" cy="3312160"/>
            <wp:effectExtent l="0" t="0" r="3175" b="2540"/>
            <wp:docPr id="137" name="图片 137" descr="e3a6e47703caf5040643e993506bd7b"/>
            <wp:cNvGraphicFramePr/>
            <a:graphic xmlns:a="http://schemas.openxmlformats.org/drawingml/2006/main">
              <a:graphicData uri="http://schemas.openxmlformats.org/drawingml/2006/picture">
                <pic:pic xmlns:pic="http://schemas.openxmlformats.org/drawingml/2006/picture">
                  <pic:nvPicPr>
                    <pic:cNvPr id="137" name="图片 137" descr="e3a6e47703caf5040643e993506bd7b"/>
                    <pic:cNvPicPr/>
                  </pic:nvPicPr>
                  <pic:blipFill>
                    <a:blip r:embed="rId121"/>
                    <a:stretch>
                      <a:fillRect/>
                    </a:stretch>
                  </pic:blipFill>
                  <pic:spPr>
                    <a:xfrm>
                      <a:off x="0" y="0"/>
                      <a:ext cx="2606675" cy="3312160"/>
                    </a:xfrm>
                    <a:prstGeom prst="rect">
                      <a:avLst/>
                    </a:prstGeom>
                  </pic:spPr>
                </pic:pic>
              </a:graphicData>
            </a:graphic>
          </wp:inline>
        </w:drawing>
      </w:r>
    </w:p>
    <w:p>
      <w:pPr>
        <w:jc w:val="center"/>
        <w:rPr>
          <w:rFonts w:hint="default" w:ascii="Times New Roman" w:hAnsi="Times New Roman" w:cs="Times New Roman" w:eastAsiaTheme="minorEastAsia"/>
          <w:b/>
          <w:bCs/>
          <w:sz w:val="22"/>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2"/>
        </w:rPr>
        <mc:AlternateContent>
          <mc:Choice Requires="wps">
            <w:drawing>
              <wp:anchor distT="0" distB="0" distL="114300" distR="114300" simplePos="0" relativeHeight="251755520" behindDoc="0" locked="0" layoutInCell="1" allowOverlap="1">
                <wp:simplePos x="0" y="0"/>
                <wp:positionH relativeFrom="column">
                  <wp:posOffset>-689610</wp:posOffset>
                </wp:positionH>
                <wp:positionV relativeFrom="paragraph">
                  <wp:posOffset>-452755</wp:posOffset>
                </wp:positionV>
                <wp:extent cx="2294255" cy="331470"/>
                <wp:effectExtent l="0" t="0" r="10795" b="11430"/>
                <wp:wrapNone/>
                <wp:docPr id="53" name="文本框 53"/>
                <wp:cNvGraphicFramePr/>
                <a:graphic xmlns:a="http://schemas.openxmlformats.org/drawingml/2006/main">
                  <a:graphicData uri="http://schemas.microsoft.com/office/word/2010/wordprocessingShape">
                    <wps:wsp>
                      <wps:cNvSpPr txBox="1"/>
                      <wps:spPr>
                        <a:xfrm>
                          <a:off x="0" y="0"/>
                          <a:ext cx="2294255" cy="331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附件一</w:t>
                            </w:r>
                            <w:r>
                              <w:rPr>
                                <w:rFonts w:hint="eastAsia"/>
                                <w:b/>
                                <w:bCs/>
                                <w:sz w:val="22"/>
                                <w:szCs w:val="28"/>
                                <w:lang w:val="en-US" w:eastAsia="zh-CN"/>
                              </w:rPr>
                              <w:t xml:space="preserve"> 清洁生产审核前公示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3pt;margin-top:-35.65pt;height:26.1pt;width:180.65pt;z-index:251755520;mso-width-relative:page;mso-height-relative:page;" fillcolor="#FFFFFF [3201]" filled="t" stroked="f" coordsize="21600,21600" o:gfxdata="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wzgSj1gAAAAwBAAAP&#10;AAAAAAAAAAEAIAAAACIAAABkcnMvZG93bnJldi54bWxQSwECFAAUAAAACACHTuJAotzxtlMCAACR&#10;BAAADgAAAAAAAAABACAAAAAlAQAAZHJzL2Uyb0RvYy54bWxQSwUGAAAAAAYABgBZAQAA6gUAAAAA&#10;">
                <v:fill on="t" focussize="0,0"/>
                <v:stroke on="f" weight="0.5pt"/>
                <v:imagedata o:title=""/>
                <o:lock v:ext="edit" aspectratio="f"/>
                <v:textbox>
                  <w:txbxContent>
                    <w:p>
                      <w:r>
                        <w:rPr>
                          <w:rFonts w:hint="eastAsia"/>
                          <w:b/>
                          <w:bCs/>
                          <w:sz w:val="22"/>
                          <w:szCs w:val="28"/>
                          <w:lang w:eastAsia="zh-CN"/>
                        </w:rPr>
                        <w:t>附件一</w:t>
                      </w:r>
                      <w:r>
                        <w:rPr>
                          <w:rFonts w:hint="eastAsia"/>
                          <w:b/>
                          <w:bCs/>
                          <w:sz w:val="22"/>
                          <w:szCs w:val="28"/>
                          <w:lang w:val="en-US" w:eastAsia="zh-CN"/>
                        </w:rPr>
                        <w:t xml:space="preserve"> 清洁生产审核前公示</w:t>
                      </w:r>
                    </w:p>
                  </w:txbxContent>
                </v:textbox>
              </v:shape>
            </w:pict>
          </mc:Fallback>
        </mc:AlternateContent>
      </w:r>
      <w:r>
        <w:drawing>
          <wp:inline distT="0" distB="0" distL="114300" distR="114300">
            <wp:extent cx="5266690" cy="3872230"/>
            <wp:effectExtent l="0" t="0" r="10160" b="13970"/>
            <wp:docPr id="139"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61"/>
                    <pic:cNvPicPr>
                      <a:picLocks noChangeAspect="1"/>
                    </pic:cNvPicPr>
                  </pic:nvPicPr>
                  <pic:blipFill>
                    <a:blip r:embed="rId122"/>
                    <a:stretch>
                      <a:fillRect/>
                    </a:stretch>
                  </pic:blipFill>
                  <pic:spPr>
                    <a:xfrm>
                      <a:off x="0" y="0"/>
                      <a:ext cx="5266690" cy="3872230"/>
                    </a:xfrm>
                    <a:prstGeom prst="rect">
                      <a:avLst/>
                    </a:prstGeom>
                    <a:noFill/>
                    <a:ln>
                      <a:noFill/>
                    </a:ln>
                  </pic:spPr>
                </pic:pic>
              </a:graphicData>
            </a:graphic>
          </wp:inline>
        </w:drawing>
      </w:r>
      <w:r>
        <w:drawing>
          <wp:inline distT="0" distB="0" distL="114300" distR="114300">
            <wp:extent cx="5271135" cy="3876675"/>
            <wp:effectExtent l="0" t="0" r="5715" b="9525"/>
            <wp:docPr id="140"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62"/>
                    <pic:cNvPicPr>
                      <a:picLocks noChangeAspect="1"/>
                    </pic:cNvPicPr>
                  </pic:nvPicPr>
                  <pic:blipFill>
                    <a:blip r:embed="rId123"/>
                    <a:stretch>
                      <a:fillRect/>
                    </a:stretch>
                  </pic:blipFill>
                  <pic:spPr>
                    <a:xfrm>
                      <a:off x="0" y="0"/>
                      <a:ext cx="5271135" cy="3876675"/>
                    </a:xfrm>
                    <a:prstGeom prst="rect">
                      <a:avLst/>
                    </a:prstGeom>
                    <a:noFill/>
                    <a:ln>
                      <a:noFill/>
                    </a:ln>
                  </pic:spPr>
                </pic:pic>
              </a:graphicData>
            </a:graphic>
          </wp:inline>
        </w:drawing>
      </w:r>
      <w:r>
        <w:drawing>
          <wp:inline distT="0" distB="0" distL="114300" distR="114300">
            <wp:extent cx="5266690" cy="3863975"/>
            <wp:effectExtent l="0" t="0" r="10160" b="3175"/>
            <wp:docPr id="141"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63"/>
                    <pic:cNvPicPr>
                      <a:picLocks noChangeAspect="1"/>
                    </pic:cNvPicPr>
                  </pic:nvPicPr>
                  <pic:blipFill>
                    <a:blip r:embed="rId124"/>
                    <a:stretch>
                      <a:fillRect/>
                    </a:stretch>
                  </pic:blipFill>
                  <pic:spPr>
                    <a:xfrm>
                      <a:off x="0" y="0"/>
                      <a:ext cx="5266690" cy="3863975"/>
                    </a:xfrm>
                    <a:prstGeom prst="rect">
                      <a:avLst/>
                    </a:prstGeom>
                    <a:noFill/>
                    <a:ln>
                      <a:noFill/>
                    </a:ln>
                  </pic:spPr>
                </pic:pic>
              </a:graphicData>
            </a:graphic>
          </wp:inline>
        </w:drawing>
      </w:r>
      <w:r>
        <w:drawing>
          <wp:inline distT="0" distB="0" distL="114300" distR="114300">
            <wp:extent cx="5266690" cy="3773170"/>
            <wp:effectExtent l="0" t="0" r="10160" b="17780"/>
            <wp:docPr id="142"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64"/>
                    <pic:cNvPicPr>
                      <a:picLocks noChangeAspect="1"/>
                    </pic:cNvPicPr>
                  </pic:nvPicPr>
                  <pic:blipFill>
                    <a:blip r:embed="rId125"/>
                    <a:stretch>
                      <a:fillRect/>
                    </a:stretch>
                  </pic:blipFill>
                  <pic:spPr>
                    <a:xfrm>
                      <a:off x="0" y="0"/>
                      <a:ext cx="5266690" cy="3773170"/>
                    </a:xfrm>
                    <a:prstGeom prst="rect">
                      <a:avLst/>
                    </a:prstGeom>
                    <a:noFill/>
                    <a:ln>
                      <a:noFill/>
                    </a:ln>
                  </pic:spPr>
                </pic:pic>
              </a:graphicData>
            </a:graphic>
          </wp:inline>
        </w:drawing>
      </w:r>
    </w:p>
    <w:p>
      <w:pPr>
        <w:jc w:val="center"/>
        <w:rPr>
          <w:rFonts w:hint="default" w:ascii="Times New Roman" w:hAnsi="Times New Roman" w:cs="Times New Roman" w:eastAsiaTheme="minorEastAsia"/>
          <w:b/>
          <w:bCs/>
          <w:sz w:val="22"/>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2"/>
          <w:u w:val="none"/>
        </w:rPr>
        <mc:AlternateContent>
          <mc:Choice Requires="wps">
            <w:drawing>
              <wp:anchor distT="0" distB="0" distL="114300" distR="114300" simplePos="0" relativeHeight="251736064" behindDoc="0" locked="0" layoutInCell="1" allowOverlap="1">
                <wp:simplePos x="0" y="0"/>
                <wp:positionH relativeFrom="column">
                  <wp:posOffset>-481330</wp:posOffset>
                </wp:positionH>
                <wp:positionV relativeFrom="paragraph">
                  <wp:posOffset>-469900</wp:posOffset>
                </wp:positionV>
                <wp:extent cx="2294255" cy="294005"/>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附件二</w:t>
                            </w:r>
                            <w:r>
                              <w:rPr>
                                <w:rFonts w:hint="eastAsia"/>
                                <w:b/>
                                <w:bCs/>
                                <w:sz w:val="22"/>
                                <w:szCs w:val="28"/>
                                <w:lang w:val="en-US" w:eastAsia="zh-CN"/>
                              </w:rPr>
                              <w:t xml:space="preserve"> 清洁生产审核后公示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9pt;margin-top:-37pt;height:23.15pt;width:180.65pt;z-index:251736064;mso-width-relative:page;mso-height-relative:page;" filled="f" stroked="f" coordsize="21600,21600" o:gfxdata="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nr8OtwAAAALAQAADwAAAAAAAAABACAAAAAiAAAA&#10;ZHJzL2Rvd25yZXYueG1sUEsBAhQAFAAAAAgAh07iQKSqj6Q8AgAAagQAAA4AAAAAAAAAAQAgAAAA&#10;KwEAAGRycy9lMm9Eb2MueG1sUEsFBgAAAAAGAAYAWQEAANkFAAAAAA==&#10;">
                <v:fill on="f" focussize="0,0"/>
                <v:stroke on="f" weight="0.5pt"/>
                <v:imagedata o:title=""/>
                <o:lock v:ext="edit" aspectratio="f"/>
                <v:textbox>
                  <w:txbxContent>
                    <w:p>
                      <w:r>
                        <w:rPr>
                          <w:rFonts w:hint="eastAsia"/>
                          <w:b/>
                          <w:bCs/>
                          <w:sz w:val="22"/>
                          <w:szCs w:val="28"/>
                          <w:lang w:eastAsia="zh-CN"/>
                        </w:rPr>
                        <w:t>附件二</w:t>
                      </w:r>
                      <w:r>
                        <w:rPr>
                          <w:rFonts w:hint="eastAsia"/>
                          <w:b/>
                          <w:bCs/>
                          <w:sz w:val="22"/>
                          <w:szCs w:val="28"/>
                          <w:lang w:val="en-US" w:eastAsia="zh-CN"/>
                        </w:rPr>
                        <w:t xml:space="preserve"> 清洁生产审核后公示</w:t>
                      </w:r>
                    </w:p>
                  </w:txbxContent>
                </v:textbox>
              </v:shape>
            </w:pict>
          </mc:Fallback>
        </mc:AlternateContent>
      </w:r>
    </w:p>
    <w:p>
      <w:pPr>
        <w:rPr>
          <w:rFonts w:hint="default" w:ascii="Times New Roman" w:hAnsi="Times New Roman" w:cs="Times New Roman"/>
        </w:rPr>
      </w:pPr>
      <w:r>
        <w:rPr>
          <w:rFonts w:hint="default" w:ascii="Times New Roman" w:hAnsi="Times New Roman" w:cs="Times New Roman"/>
          <w:sz w:val="22"/>
        </w:rPr>
        <w:drawing>
          <wp:anchor distT="0" distB="0" distL="114300" distR="114300" simplePos="0" relativeHeight="251692032" behindDoc="1" locked="0" layoutInCell="1" allowOverlap="1">
            <wp:simplePos x="0" y="0"/>
            <wp:positionH relativeFrom="column">
              <wp:posOffset>-1019175</wp:posOffset>
            </wp:positionH>
            <wp:positionV relativeFrom="paragraph">
              <wp:posOffset>-760095</wp:posOffset>
            </wp:positionV>
            <wp:extent cx="7264400" cy="10266045"/>
            <wp:effectExtent l="0" t="0" r="12700" b="1905"/>
            <wp:wrapNone/>
            <wp:docPr id="33" name="图片 33" descr="27dc66d8d23cbc73ec2f9934a61d2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7dc66d8d23cbc73ec2f9934a61d2ae"/>
                    <pic:cNvPicPr>
                      <a:picLocks noChangeAspect="1"/>
                    </pic:cNvPicPr>
                  </pic:nvPicPr>
                  <pic:blipFill>
                    <a:blip r:embed="rId126"/>
                    <a:stretch>
                      <a:fillRect/>
                    </a:stretch>
                  </pic:blipFill>
                  <pic:spPr>
                    <a:xfrm>
                      <a:off x="0" y="0"/>
                      <a:ext cx="7264400" cy="10266045"/>
                    </a:xfrm>
                    <a:prstGeom prst="rect">
                      <a:avLst/>
                    </a:prstGeom>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251684864" behindDoc="0" locked="0" layoutInCell="1" allowOverlap="1">
                <wp:simplePos x="0" y="0"/>
                <wp:positionH relativeFrom="column">
                  <wp:posOffset>-450850</wp:posOffset>
                </wp:positionH>
                <wp:positionV relativeFrom="paragraph">
                  <wp:posOffset>-556895</wp:posOffset>
                </wp:positionV>
                <wp:extent cx="2294255" cy="294005"/>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附件三</w:t>
                            </w:r>
                            <w:r>
                              <w:rPr>
                                <w:rFonts w:hint="eastAsia"/>
                                <w:b/>
                                <w:bCs/>
                                <w:sz w:val="22"/>
                                <w:szCs w:val="28"/>
                                <w:lang w:val="en-US" w:eastAsia="zh-CN"/>
                              </w:rPr>
                              <w:t xml:space="preserve"> 清洁生产审核委托书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3.85pt;height:23.15pt;width:180.65pt;z-index:251684864;mso-width-relative:page;mso-height-relative:page;" filled="f" stroked="f" coordsize="21600,21600" o:gfxdata="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6cP1gtwAAAALAQAADwAAAAAAAAABACAAAAAiAAAA&#10;ZHJzL2Rvd25yZXYueG1sUEsBAhQAFAAAAAgAh07iQK+knw48AgAAaAQAAA4AAAAAAAAAAQAgAAAA&#10;KwEAAGRycy9lMm9Eb2MueG1sUEsFBgAAAAAGAAYAWQEAANkFAAAAAA==&#10;">
                <v:fill on="f" focussize="0,0"/>
                <v:stroke on="f" weight="0.5pt"/>
                <v:imagedata o:title=""/>
                <o:lock v:ext="edit" aspectratio="f"/>
                <v:textbox>
                  <w:txbxContent>
                    <w:p>
                      <w:r>
                        <w:rPr>
                          <w:rFonts w:hint="eastAsia"/>
                          <w:b/>
                          <w:bCs/>
                          <w:sz w:val="22"/>
                          <w:szCs w:val="28"/>
                          <w:lang w:eastAsia="zh-CN"/>
                        </w:rPr>
                        <w:t>附件三</w:t>
                      </w:r>
                      <w:r>
                        <w:rPr>
                          <w:rFonts w:hint="eastAsia"/>
                          <w:b/>
                          <w:bCs/>
                          <w:sz w:val="22"/>
                          <w:szCs w:val="28"/>
                          <w:lang w:val="en-US" w:eastAsia="zh-CN"/>
                        </w:rPr>
                        <w:t xml:space="preserve"> 清洁生产审核委托书</w:t>
                      </w:r>
                    </w:p>
                  </w:txbxContent>
                </v:textbox>
              </v:shape>
            </w:pict>
          </mc:Fallback>
        </mc:AlternateConten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center"/>
        <w:rPr>
          <w:rFonts w:hint="default" w:ascii="Times New Roman" w:hAnsi="Times New Roman" w:cs="Times New Roman"/>
          <w:lang w:eastAsia="zh-CN"/>
        </w:rPr>
      </w:pPr>
      <w:r>
        <w:rPr>
          <w:rFonts w:hint="default" w:ascii="Times New Roman" w:hAnsi="Times New Roman" w:cs="Times New Roman"/>
          <w:lang w:eastAsia="zh-CN"/>
        </w:rPr>
        <w:drawing>
          <wp:anchor distT="0" distB="0" distL="114300" distR="114300" simplePos="0" relativeHeight="251735040" behindDoc="0" locked="0" layoutInCell="1" allowOverlap="1">
            <wp:simplePos x="0" y="0"/>
            <wp:positionH relativeFrom="column">
              <wp:posOffset>-485775</wp:posOffset>
            </wp:positionH>
            <wp:positionV relativeFrom="paragraph">
              <wp:posOffset>-217170</wp:posOffset>
            </wp:positionV>
            <wp:extent cx="6393180" cy="8732520"/>
            <wp:effectExtent l="0" t="0" r="7620" b="11430"/>
            <wp:wrapNone/>
            <wp:docPr id="71" name="图片 71" descr="1669cb51ace781f923c7282b6f3df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1669cb51ace781f923c7282b6f3df02"/>
                    <pic:cNvPicPr>
                      <a:picLocks noChangeAspect="1"/>
                    </pic:cNvPicPr>
                  </pic:nvPicPr>
                  <pic:blipFill>
                    <a:blip r:embed="rId127"/>
                    <a:stretch>
                      <a:fillRect/>
                    </a:stretch>
                  </pic:blipFill>
                  <pic:spPr>
                    <a:xfrm>
                      <a:off x="0" y="0"/>
                      <a:ext cx="6393180" cy="8732520"/>
                    </a:xfrm>
                    <a:prstGeom prst="rect">
                      <a:avLst/>
                    </a:prstGeom>
                  </pic:spPr>
                </pic:pic>
              </a:graphicData>
            </a:graphic>
          </wp:anchor>
        </w:drawing>
      </w:r>
      <w:r>
        <w:rPr>
          <w:rFonts w:hint="default" w:ascii="Times New Roman" w:hAnsi="Times New Roman" w:cs="Times New Roman"/>
          <w:sz w:val="21"/>
          <w:szCs w:val="22"/>
        </w:rPr>
        <mc:AlternateContent>
          <mc:Choice Requires="wps">
            <w:drawing>
              <wp:anchor distT="0" distB="0" distL="114300" distR="114300" simplePos="0" relativeHeight="251685888" behindDoc="0" locked="0" layoutInCell="1" allowOverlap="1">
                <wp:simplePos x="0" y="0"/>
                <wp:positionH relativeFrom="column">
                  <wp:posOffset>-450850</wp:posOffset>
                </wp:positionH>
                <wp:positionV relativeFrom="paragraph">
                  <wp:posOffset>-565785</wp:posOffset>
                </wp:positionV>
                <wp:extent cx="2294255" cy="294005"/>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附件四</w:t>
                            </w:r>
                            <w:r>
                              <w:rPr>
                                <w:rFonts w:hint="eastAsia"/>
                                <w:b/>
                                <w:bCs/>
                                <w:sz w:val="22"/>
                                <w:szCs w:val="28"/>
                                <w:lang w:val="en-US" w:eastAsia="zh-CN"/>
                              </w:rPr>
                              <w:t xml:space="preserve"> 清洁生产审核启动文件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80.65pt;z-index:251685888;mso-width-relative:page;mso-height-relative:page;" filled="f" stroked="f" coordsize="21600,21600" o:gfxdata="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BrmVdwAAAALAQAADwAAAAAAAAABACAAAAAiAAAA&#10;ZHJzL2Rvd25yZXYueG1sUEsBAhQAFAAAAAgAh07iQMRVQsM8AgAAaAQAAA4AAAAAAAAAAQAgAAAA&#10;KwEAAGRycy9lMm9Eb2MueG1sUEsFBgAAAAAGAAYAWQEAANkFAAAAAA==&#10;">
                <v:fill on="f" focussize="0,0"/>
                <v:stroke on="f" weight="0.5pt"/>
                <v:imagedata o:title=""/>
                <o:lock v:ext="edit" aspectratio="f"/>
                <v:textbox>
                  <w:txbxContent>
                    <w:p>
                      <w:r>
                        <w:rPr>
                          <w:rFonts w:hint="eastAsia"/>
                          <w:b/>
                          <w:bCs/>
                          <w:sz w:val="22"/>
                          <w:szCs w:val="28"/>
                          <w:lang w:eastAsia="zh-CN"/>
                        </w:rPr>
                        <w:t>附件四</w:t>
                      </w:r>
                      <w:r>
                        <w:rPr>
                          <w:rFonts w:hint="eastAsia"/>
                          <w:b/>
                          <w:bCs/>
                          <w:sz w:val="22"/>
                          <w:szCs w:val="28"/>
                          <w:lang w:val="en-US" w:eastAsia="zh-CN"/>
                        </w:rPr>
                        <w:t xml:space="preserve"> 清洁生产审核启动文件</w:t>
                      </w:r>
                    </w:p>
                  </w:txbxContent>
                </v:textbox>
              </v:shape>
            </w:pict>
          </mc:Fallback>
        </mc:AlternateContent>
      </w:r>
      <w:r>
        <w:rPr>
          <w:rFonts w:hint="default" w:ascii="Times New Roman" w:hAnsi="Times New Roman" w:cs="Times New Roman"/>
          <w:color w:val="FF0000"/>
          <w:sz w:val="56"/>
          <w:szCs w:val="96"/>
          <w:lang w:eastAsia="zh-CN"/>
        </w:rPr>
        <w:t>新乡市俊业新材料有限公司</w:t>
      </w:r>
      <w:r>
        <w:rPr>
          <w:rFonts w:hint="default" w:ascii="Times New Roman" w:hAnsi="Times New Roman" w:cs="Times New Roman"/>
          <w:lang w:eastAsia="zh-CN"/>
        </w:rPr>
        <w:br w:type="textWrapping"/>
      </w:r>
    </w:p>
    <w:p>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俊业字（2021）001号                        签发人：岳永军</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883" w:firstLineChars="200"/>
        <w:jc w:val="center"/>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cs="Times New Roman"/>
          <w:b/>
          <w:sz w:val="44"/>
          <w:szCs w:val="44"/>
        </w:rPr>
        <mc:AlternateContent>
          <mc:Choice Requires="wps">
            <w:drawing>
              <wp:anchor distT="0" distB="0" distL="114300" distR="114300" simplePos="0" relativeHeight="251683840" behindDoc="0" locked="0" layoutInCell="1" allowOverlap="1">
                <wp:simplePos x="0" y="0"/>
                <wp:positionH relativeFrom="column">
                  <wp:posOffset>-306705</wp:posOffset>
                </wp:positionH>
                <wp:positionV relativeFrom="paragraph">
                  <wp:posOffset>62865</wp:posOffset>
                </wp:positionV>
                <wp:extent cx="6104255" cy="2540"/>
                <wp:effectExtent l="0" t="0" r="0" b="0"/>
                <wp:wrapNone/>
                <wp:docPr id="57" name="直接箭头连接符 57"/>
                <wp:cNvGraphicFramePr/>
                <a:graphic xmlns:a="http://schemas.openxmlformats.org/drawingml/2006/main">
                  <a:graphicData uri="http://schemas.microsoft.com/office/word/2010/wordprocessingShape">
                    <wps:wsp>
                      <wps:cNvCnPr/>
                      <wps:spPr>
                        <a:xfrm flipV="1">
                          <a:off x="0" y="0"/>
                          <a:ext cx="6104255" cy="2540"/>
                        </a:xfrm>
                        <a:prstGeom prst="straightConnector1">
                          <a:avLst/>
                        </a:prstGeom>
                        <a:ln w="15875" cap="flat" cmpd="sng">
                          <a:solidFill>
                            <a:srgbClr val="FF33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24.15pt;margin-top:4.95pt;height:0.2pt;width:480.65pt;z-index:251683840;mso-width-relative:page;mso-height-relative:page;" filled="f" stroked="t" coordsize="21600,21600" o:gfxdata="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h98TfYAAAACAEAAA8AAAAAAAAAAQAgAAAA&#10;IgAAAGRycy9kb3ducmV2LnhtbFBLAQIUABQAAAAIAIdO4kBP8WNGCwIAAPwDAAAOAAAAAAAAAAEA&#10;IAAAACcBAABkcnMvZTJvRG9jLnhtbFBLBQYAAAAABgAGAFkBAACkBQAAAAA=&#10;">
                <v:fill on="f" focussize="0,0"/>
                <v:stroke weight="1.25pt" color="#FF3300" joinstyle="round"/>
                <v:imagedata o:title=""/>
                <o:lock v:ext="edit" aspectratio="f"/>
              </v:shape>
            </w:pict>
          </mc:Fallback>
        </mc:AlternateContent>
      </w:r>
      <w:r>
        <w:rPr>
          <w:rFonts w:hint="default" w:ascii="Times New Roman" w:hAnsi="Times New Roman" w:cs="Times New Roman"/>
          <w:sz w:val="24"/>
          <w:szCs w:val="32"/>
          <w:lang w:val="en-US" w:eastAsia="zh-CN"/>
        </w:rPr>
        <w:br w:type="textWrapping"/>
      </w:r>
      <w:r>
        <w:rPr>
          <w:rFonts w:hint="default" w:ascii="Times New Roman" w:hAnsi="Times New Roman" w:eastAsia="宋体" w:cs="Times New Roman"/>
          <w:b/>
          <w:bCs/>
          <w:sz w:val="28"/>
          <w:szCs w:val="28"/>
          <w:lang w:val="en-US" w:eastAsia="zh-CN"/>
        </w:rPr>
        <w:t>关于成立清洁生产审核小组的通知</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厂属各单位：</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根据河南省生态环境厅和新乡市生态环境局的有关要求，贯彻落实《中华人民共和国清洁生产促进法》，确保公司经济与环境的协调发展，有效提高资源利用率，减少污染物的产生，保护环境，在公司内部建立清洁生产的长效机制。根据公司实际情况，为全面开展清洁生产审核工作，有效的保证本轮审核顺利进行，特成立清洁生产审核小组。现将小组成员公告如下：</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清洁生产审核小组：</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组 长：岳永军 总经理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成 员：琚新春 生产部经理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赵喜亮 保安部经理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林文奇 设备管理干员</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吴新香 财务部经理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琚新春 综合部经理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和建霞 办公室职员。</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以上小组成员务必认真负责，需要负责清洁生产审核总体工作，清洁生产方案的审核、技术论证、资金筹集及相关文件的起草，编制清洁生产审核报告，具体落实，完成清洁生产审核的各项工作。</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特此通知！</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jc w:val="righ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新乡市俊业新材料有限公司</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jc w:val="righ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2021.7.17</w: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2"/>
        </w:rPr>
        <w:drawing>
          <wp:anchor distT="0" distB="0" distL="114300" distR="114300" simplePos="0" relativeHeight="251693056" behindDoc="1" locked="0" layoutInCell="1" allowOverlap="1">
            <wp:simplePos x="0" y="0"/>
            <wp:positionH relativeFrom="column">
              <wp:posOffset>-1123950</wp:posOffset>
            </wp:positionH>
            <wp:positionV relativeFrom="paragraph">
              <wp:posOffset>-773430</wp:posOffset>
            </wp:positionV>
            <wp:extent cx="7515225" cy="10348595"/>
            <wp:effectExtent l="0" t="0" r="9525" b="14605"/>
            <wp:wrapNone/>
            <wp:docPr id="51" name="图片 51" descr="39a6a278c5066a94dd4777d1a46f4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39a6a278c5066a94dd4777d1a46f4a1"/>
                    <pic:cNvPicPr>
                      <a:picLocks noChangeAspect="1"/>
                    </pic:cNvPicPr>
                  </pic:nvPicPr>
                  <pic:blipFill>
                    <a:blip r:embed="rId128"/>
                    <a:stretch>
                      <a:fillRect/>
                    </a:stretch>
                  </pic:blipFill>
                  <pic:spPr>
                    <a:xfrm>
                      <a:off x="0" y="0"/>
                      <a:ext cx="7515225" cy="10348595"/>
                    </a:xfrm>
                    <a:prstGeom prst="rect">
                      <a:avLst/>
                    </a:prstGeom>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251686912" behindDoc="0" locked="0" layoutInCell="1" allowOverlap="1">
                <wp:simplePos x="0" y="0"/>
                <wp:positionH relativeFrom="column">
                  <wp:posOffset>-450850</wp:posOffset>
                </wp:positionH>
                <wp:positionV relativeFrom="paragraph">
                  <wp:posOffset>-565785</wp:posOffset>
                </wp:positionV>
                <wp:extent cx="2294255" cy="294005"/>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附件五</w:t>
                            </w:r>
                            <w:r>
                              <w:rPr>
                                <w:rFonts w:hint="eastAsia"/>
                                <w:b/>
                                <w:bCs/>
                                <w:sz w:val="22"/>
                                <w:szCs w:val="28"/>
                                <w:lang w:val="en-US" w:eastAsia="zh-CN"/>
                              </w:rPr>
                              <w:t xml:space="preserve"> 行业专家意见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80.65pt;z-index:251686912;mso-width-relative:page;mso-height-relative:page;" filled="f" stroked="f" coordsize="21600,21600" o:gfxdata="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cGuZV3AAAAAsBAAAPAAAAAAAAAAEAIAAAACIAAABk&#10;cnMvZG93bnJldi54bWxQSwECFAAUAAAACACHTuJAFonAzzsCAABoBAAADgAAAAAAAAABACAAAAAr&#10;AQAAZHJzL2Uyb0RvYy54bWxQSwUGAAAAAAYABgBZAQAA2AUAAAAA&#10;">
                <v:fill on="f" focussize="0,0"/>
                <v:stroke on="f" weight="0.5pt"/>
                <v:imagedata o:title=""/>
                <o:lock v:ext="edit" aspectratio="f"/>
                <v:textbox>
                  <w:txbxContent>
                    <w:p>
                      <w:r>
                        <w:rPr>
                          <w:rFonts w:hint="eastAsia"/>
                          <w:b/>
                          <w:bCs/>
                          <w:sz w:val="22"/>
                          <w:szCs w:val="28"/>
                          <w:lang w:eastAsia="zh-CN"/>
                        </w:rPr>
                        <w:t>附件五</w:t>
                      </w:r>
                      <w:r>
                        <w:rPr>
                          <w:rFonts w:hint="eastAsia"/>
                          <w:b/>
                          <w:bCs/>
                          <w:sz w:val="22"/>
                          <w:szCs w:val="28"/>
                          <w:lang w:val="en-US" w:eastAsia="zh-CN"/>
                        </w:rPr>
                        <w:t xml:space="preserve"> 行业专家意见</w:t>
                      </w:r>
                    </w:p>
                  </w:txbxContent>
                </v:textbox>
              </v:shape>
            </w:pict>
          </mc:Fallback>
        </mc:AlternateConten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2336" behindDoc="1" locked="0" layoutInCell="1" allowOverlap="1">
            <wp:simplePos x="0" y="0"/>
            <wp:positionH relativeFrom="column">
              <wp:posOffset>-1123950</wp:posOffset>
            </wp:positionH>
            <wp:positionV relativeFrom="paragraph">
              <wp:posOffset>-922020</wp:posOffset>
            </wp:positionV>
            <wp:extent cx="7562215" cy="10688320"/>
            <wp:effectExtent l="0" t="0" r="635" b="17780"/>
            <wp:wrapNone/>
            <wp:docPr id="12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47"/>
                    <pic:cNvPicPr>
                      <a:picLocks noChangeAspect="1"/>
                    </pic:cNvPicPr>
                  </pic:nvPicPr>
                  <pic:blipFill>
                    <a:blip r:embed="rId129"/>
                    <a:stretch>
                      <a:fillRect/>
                    </a:stretch>
                  </pic:blipFill>
                  <pic:spPr>
                    <a:xfrm>
                      <a:off x="0" y="0"/>
                      <a:ext cx="7562215" cy="10688320"/>
                    </a:xfrm>
                    <a:prstGeom prst="rect">
                      <a:avLst/>
                    </a:prstGeom>
                    <a:noFill/>
                    <a:ln>
                      <a:noFill/>
                    </a:ln>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251687936" behindDoc="0" locked="0" layoutInCell="1" allowOverlap="1">
                <wp:simplePos x="0" y="0"/>
                <wp:positionH relativeFrom="column">
                  <wp:posOffset>-460375</wp:posOffset>
                </wp:positionH>
                <wp:positionV relativeFrom="paragraph">
                  <wp:posOffset>-546735</wp:posOffset>
                </wp:positionV>
                <wp:extent cx="2690495" cy="294005"/>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269049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附件六</w:t>
                            </w:r>
                            <w:r>
                              <w:rPr>
                                <w:rFonts w:hint="eastAsia"/>
                                <w:b/>
                                <w:bCs/>
                                <w:sz w:val="22"/>
                                <w:szCs w:val="28"/>
                                <w:lang w:val="en-US" w:eastAsia="zh-CN"/>
                              </w:rPr>
                              <w:t xml:space="preserve">  方案实施前检测报告</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25pt;margin-top:-43.05pt;height:23.15pt;width:211.85pt;z-index:251687936;mso-width-relative:page;mso-height-relative:page;" filled="f" stroked="f" coordsize="21600,21600" o:gfxdata="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&#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rD/6twAAAALAQAADwAAAAAAAAABACAAAAAiAAAA&#10;ZHJzL2Rvd25yZXYueG1sUEsBAhQAFAAAAAgAh07iQDOw/Ww8AgAAaAQAAA4AAAAAAAAAAQAgAAAA&#10;Kw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附件六</w:t>
                      </w:r>
                      <w:r>
                        <w:rPr>
                          <w:rFonts w:hint="eastAsia"/>
                          <w:b/>
                          <w:bCs/>
                          <w:sz w:val="22"/>
                          <w:szCs w:val="28"/>
                          <w:lang w:val="en-US" w:eastAsia="zh-CN"/>
                        </w:rPr>
                        <w:t xml:space="preserve">  方案实施前检测报告</w:t>
                      </w:r>
                    </w:p>
                    <w:p/>
                  </w:txbxContent>
                </v:textbox>
              </v:shape>
            </w:pict>
          </mc:Fallback>
        </mc:AlternateConten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2336" behindDoc="0" locked="0" layoutInCell="1" allowOverlap="1">
            <wp:simplePos x="0" y="0"/>
            <wp:positionH relativeFrom="column">
              <wp:posOffset>-1133475</wp:posOffset>
            </wp:positionH>
            <wp:positionV relativeFrom="paragraph">
              <wp:posOffset>-922020</wp:posOffset>
            </wp:positionV>
            <wp:extent cx="7559675" cy="10679430"/>
            <wp:effectExtent l="0" t="0" r="3175" b="7620"/>
            <wp:wrapNone/>
            <wp:docPr id="121"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48"/>
                    <pic:cNvPicPr>
                      <a:picLocks noChangeAspect="1"/>
                    </pic:cNvPicPr>
                  </pic:nvPicPr>
                  <pic:blipFill>
                    <a:blip r:embed="rId130"/>
                    <a:stretch>
                      <a:fillRect/>
                    </a:stretch>
                  </pic:blipFill>
                  <pic:spPr>
                    <a:xfrm>
                      <a:off x="0" y="0"/>
                      <a:ext cx="7559675" cy="1067943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3360" behindDoc="0" locked="0" layoutInCell="1" allowOverlap="1">
            <wp:simplePos x="0" y="0"/>
            <wp:positionH relativeFrom="column">
              <wp:posOffset>-1133475</wp:posOffset>
            </wp:positionH>
            <wp:positionV relativeFrom="paragraph">
              <wp:posOffset>-887730</wp:posOffset>
            </wp:positionV>
            <wp:extent cx="7546340" cy="10457180"/>
            <wp:effectExtent l="0" t="0" r="16510" b="1270"/>
            <wp:wrapNone/>
            <wp:docPr id="12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49"/>
                    <pic:cNvPicPr>
                      <a:picLocks noChangeAspect="1"/>
                    </pic:cNvPicPr>
                  </pic:nvPicPr>
                  <pic:blipFill>
                    <a:blip r:embed="rId131"/>
                    <a:stretch>
                      <a:fillRect/>
                    </a:stretch>
                  </pic:blipFill>
                  <pic:spPr>
                    <a:xfrm>
                      <a:off x="0" y="0"/>
                      <a:ext cx="7546340" cy="1045718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4384" behindDoc="0" locked="0" layoutInCell="1" allowOverlap="1">
            <wp:simplePos x="0" y="0"/>
            <wp:positionH relativeFrom="column">
              <wp:posOffset>-1143000</wp:posOffset>
            </wp:positionH>
            <wp:positionV relativeFrom="paragraph">
              <wp:posOffset>-902970</wp:posOffset>
            </wp:positionV>
            <wp:extent cx="7548245" cy="10643235"/>
            <wp:effectExtent l="0" t="0" r="14605" b="5715"/>
            <wp:wrapNone/>
            <wp:docPr id="123"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50"/>
                    <pic:cNvPicPr>
                      <a:picLocks noChangeAspect="1"/>
                    </pic:cNvPicPr>
                  </pic:nvPicPr>
                  <pic:blipFill>
                    <a:blip r:embed="rId132"/>
                    <a:stretch>
                      <a:fillRect/>
                    </a:stretch>
                  </pic:blipFill>
                  <pic:spPr>
                    <a:xfrm>
                      <a:off x="0" y="0"/>
                      <a:ext cx="7548245" cy="1064323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5408" behindDoc="0" locked="0" layoutInCell="1" allowOverlap="1">
            <wp:simplePos x="0" y="0"/>
            <wp:positionH relativeFrom="column">
              <wp:posOffset>-1114425</wp:posOffset>
            </wp:positionH>
            <wp:positionV relativeFrom="paragraph">
              <wp:posOffset>-874395</wp:posOffset>
            </wp:positionV>
            <wp:extent cx="7494905" cy="10627360"/>
            <wp:effectExtent l="0" t="0" r="10795" b="2540"/>
            <wp:wrapNone/>
            <wp:docPr id="12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51"/>
                    <pic:cNvPicPr>
                      <a:picLocks noChangeAspect="1"/>
                    </pic:cNvPicPr>
                  </pic:nvPicPr>
                  <pic:blipFill>
                    <a:blip r:embed="rId133"/>
                    <a:stretch>
                      <a:fillRect/>
                    </a:stretch>
                  </pic:blipFill>
                  <pic:spPr>
                    <a:xfrm>
                      <a:off x="0" y="0"/>
                      <a:ext cx="7494905" cy="1062736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6432" behindDoc="0" locked="0" layoutInCell="1" allowOverlap="1">
            <wp:simplePos x="0" y="0"/>
            <wp:positionH relativeFrom="column">
              <wp:posOffset>-1162050</wp:posOffset>
            </wp:positionH>
            <wp:positionV relativeFrom="paragraph">
              <wp:posOffset>-883920</wp:posOffset>
            </wp:positionV>
            <wp:extent cx="7562215" cy="10670540"/>
            <wp:effectExtent l="0" t="0" r="635" b="16510"/>
            <wp:wrapNone/>
            <wp:docPr id="125"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52"/>
                    <pic:cNvPicPr>
                      <a:picLocks noChangeAspect="1"/>
                    </pic:cNvPicPr>
                  </pic:nvPicPr>
                  <pic:blipFill>
                    <a:blip r:embed="rId134"/>
                    <a:stretch>
                      <a:fillRect/>
                    </a:stretch>
                  </pic:blipFill>
                  <pic:spPr>
                    <a:xfrm>
                      <a:off x="0" y="0"/>
                      <a:ext cx="7562215" cy="1067054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7456" behindDoc="0" locked="0" layoutInCell="1" allowOverlap="1">
            <wp:simplePos x="0" y="0"/>
            <wp:positionH relativeFrom="column">
              <wp:posOffset>-1123950</wp:posOffset>
            </wp:positionH>
            <wp:positionV relativeFrom="paragraph">
              <wp:posOffset>-902970</wp:posOffset>
            </wp:positionV>
            <wp:extent cx="7499985" cy="10628630"/>
            <wp:effectExtent l="0" t="0" r="5715" b="1270"/>
            <wp:wrapNone/>
            <wp:docPr id="126"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53"/>
                    <pic:cNvPicPr>
                      <a:picLocks noChangeAspect="1"/>
                    </pic:cNvPicPr>
                  </pic:nvPicPr>
                  <pic:blipFill>
                    <a:blip r:embed="rId135"/>
                    <a:stretch>
                      <a:fillRect/>
                    </a:stretch>
                  </pic:blipFill>
                  <pic:spPr>
                    <a:xfrm>
                      <a:off x="0" y="0"/>
                      <a:ext cx="7499985" cy="1062863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8480" behindDoc="0" locked="0" layoutInCell="1" allowOverlap="1">
            <wp:simplePos x="0" y="0"/>
            <wp:positionH relativeFrom="column">
              <wp:posOffset>-1143000</wp:posOffset>
            </wp:positionH>
            <wp:positionV relativeFrom="paragraph">
              <wp:posOffset>-902970</wp:posOffset>
            </wp:positionV>
            <wp:extent cx="7569835" cy="10715625"/>
            <wp:effectExtent l="0" t="0" r="12065" b="9525"/>
            <wp:wrapNone/>
            <wp:docPr id="127"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54"/>
                    <pic:cNvPicPr>
                      <a:picLocks noChangeAspect="1"/>
                    </pic:cNvPicPr>
                  </pic:nvPicPr>
                  <pic:blipFill>
                    <a:blip r:embed="rId136"/>
                    <a:stretch>
                      <a:fillRect/>
                    </a:stretch>
                  </pic:blipFill>
                  <pic:spPr>
                    <a:xfrm>
                      <a:off x="0" y="0"/>
                      <a:ext cx="7569835" cy="1071562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9504" behindDoc="0" locked="0" layoutInCell="1" allowOverlap="1">
            <wp:simplePos x="0" y="0"/>
            <wp:positionH relativeFrom="column">
              <wp:posOffset>-1143000</wp:posOffset>
            </wp:positionH>
            <wp:positionV relativeFrom="paragraph">
              <wp:posOffset>-912495</wp:posOffset>
            </wp:positionV>
            <wp:extent cx="7547610" cy="10695940"/>
            <wp:effectExtent l="0" t="0" r="15240" b="10160"/>
            <wp:wrapNone/>
            <wp:docPr id="128"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55"/>
                    <pic:cNvPicPr>
                      <a:picLocks noChangeAspect="1"/>
                    </pic:cNvPicPr>
                  </pic:nvPicPr>
                  <pic:blipFill>
                    <a:blip r:embed="rId137"/>
                    <a:stretch>
                      <a:fillRect/>
                    </a:stretch>
                  </pic:blipFill>
                  <pic:spPr>
                    <a:xfrm>
                      <a:off x="0" y="0"/>
                      <a:ext cx="7547610" cy="1069594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59264" behindDoc="0" locked="0" layoutInCell="1" allowOverlap="1">
            <wp:simplePos x="0" y="0"/>
            <wp:positionH relativeFrom="column">
              <wp:posOffset>-1133475</wp:posOffset>
            </wp:positionH>
            <wp:positionV relativeFrom="paragraph">
              <wp:posOffset>-922020</wp:posOffset>
            </wp:positionV>
            <wp:extent cx="7545070" cy="10650855"/>
            <wp:effectExtent l="0" t="0" r="17780" b="17145"/>
            <wp:wrapNone/>
            <wp:docPr id="129"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56"/>
                    <pic:cNvPicPr>
                      <a:picLocks noChangeAspect="1"/>
                    </pic:cNvPicPr>
                  </pic:nvPicPr>
                  <pic:blipFill>
                    <a:blip r:embed="rId138"/>
                    <a:stretch>
                      <a:fillRect/>
                    </a:stretch>
                  </pic:blipFill>
                  <pic:spPr>
                    <a:xfrm>
                      <a:off x="0" y="0"/>
                      <a:ext cx="7545070" cy="10650855"/>
                    </a:xfrm>
                    <a:prstGeom prst="rect">
                      <a:avLst/>
                    </a:prstGeom>
                    <a:noFill/>
                    <a:ln>
                      <a:noFill/>
                    </a:ln>
                  </pic:spPr>
                </pic:pic>
              </a:graphicData>
            </a:graphic>
          </wp:anchor>
        </w:drawing>
      </w:r>
    </w:p>
    <w:p>
      <w:pPr>
        <w:pStyle w:val="2"/>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70528" behindDoc="0" locked="0" layoutInCell="1" allowOverlap="1">
            <wp:simplePos x="0" y="0"/>
            <wp:positionH relativeFrom="column">
              <wp:posOffset>-1171575</wp:posOffset>
            </wp:positionH>
            <wp:positionV relativeFrom="paragraph">
              <wp:posOffset>-912495</wp:posOffset>
            </wp:positionV>
            <wp:extent cx="7541260" cy="10677525"/>
            <wp:effectExtent l="0" t="0" r="2540" b="9525"/>
            <wp:wrapNone/>
            <wp:docPr id="130"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57"/>
                    <pic:cNvPicPr>
                      <a:picLocks noChangeAspect="1"/>
                    </pic:cNvPicPr>
                  </pic:nvPicPr>
                  <pic:blipFill>
                    <a:blip r:embed="rId139"/>
                    <a:stretch>
                      <a:fillRect/>
                    </a:stretch>
                  </pic:blipFill>
                  <pic:spPr>
                    <a:xfrm>
                      <a:off x="0" y="0"/>
                      <a:ext cx="7541260" cy="10677525"/>
                    </a:xfrm>
                    <a:prstGeom prst="rect">
                      <a:avLst/>
                    </a:prstGeom>
                    <a:noFill/>
                    <a:ln>
                      <a:noFill/>
                    </a:ln>
                  </pic:spPr>
                </pic:pic>
              </a:graphicData>
            </a:graphic>
          </wp:anchor>
        </w:drawing>
      </w:r>
    </w:p>
    <w:p>
      <w:pPr>
        <w:pStyle w:val="2"/>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71552" behindDoc="0" locked="0" layoutInCell="1" allowOverlap="1">
            <wp:simplePos x="0" y="0"/>
            <wp:positionH relativeFrom="column">
              <wp:posOffset>-1143000</wp:posOffset>
            </wp:positionH>
            <wp:positionV relativeFrom="paragraph">
              <wp:posOffset>-931545</wp:posOffset>
            </wp:positionV>
            <wp:extent cx="7541260" cy="10694670"/>
            <wp:effectExtent l="0" t="0" r="2540" b="11430"/>
            <wp:wrapNone/>
            <wp:docPr id="131"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58"/>
                    <pic:cNvPicPr>
                      <a:picLocks noChangeAspect="1"/>
                    </pic:cNvPicPr>
                  </pic:nvPicPr>
                  <pic:blipFill>
                    <a:blip r:embed="rId140"/>
                    <a:stretch>
                      <a:fillRect/>
                    </a:stretch>
                  </pic:blipFill>
                  <pic:spPr>
                    <a:xfrm>
                      <a:off x="0" y="0"/>
                      <a:ext cx="7541260" cy="10694670"/>
                    </a:xfrm>
                    <a:prstGeom prst="rect">
                      <a:avLst/>
                    </a:prstGeom>
                    <a:noFill/>
                    <a:ln>
                      <a:noFill/>
                    </a:ln>
                  </pic:spPr>
                </pic:pic>
              </a:graphicData>
            </a:graphic>
          </wp:anchor>
        </w:drawing>
      </w:r>
    </w:p>
    <w:p>
      <w:pPr>
        <w:rPr>
          <w:rFonts w:hint="default" w:ascii="Times New Roman" w:hAnsi="Times New Roman" w:cs="Times New Roman"/>
        </w:rPr>
      </w:pPr>
      <w:r>
        <w:rPr>
          <w:rFonts w:hint="default" w:ascii="Times New Roman" w:hAnsi="Times New Roman" w:cs="Times New Roman"/>
          <w:sz w:val="22"/>
        </w:rPr>
        <w:drawing>
          <wp:inline distT="0" distB="0" distL="114300" distR="114300">
            <wp:extent cx="5267960" cy="7327900"/>
            <wp:effectExtent l="0" t="0" r="8890" b="6350"/>
            <wp:docPr id="89" name="图片 8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1"/>
                    <pic:cNvPicPr>
                      <a:picLocks noChangeAspect="1"/>
                    </pic:cNvPicPr>
                  </pic:nvPicPr>
                  <pic:blipFill>
                    <a:blip r:embed="rId141"/>
                    <a:stretch>
                      <a:fillRect/>
                    </a:stretch>
                  </pic:blipFill>
                  <pic:spPr>
                    <a:xfrm>
                      <a:off x="0" y="0"/>
                      <a:ext cx="5267960" cy="7327900"/>
                    </a:xfrm>
                    <a:prstGeom prst="rect">
                      <a:avLst/>
                    </a:prstGeom>
                  </pic:spPr>
                </pic:pic>
              </a:graphicData>
            </a:graphic>
          </wp:inline>
        </w:drawing>
      </w:r>
      <w:r>
        <w:rPr>
          <w:rFonts w:hint="default" w:ascii="Times New Roman" w:hAnsi="Times New Roman" w:cs="Times New Roman"/>
          <w:sz w:val="22"/>
        </w:rPr>
        <mc:AlternateContent>
          <mc:Choice Requires="wps">
            <w:drawing>
              <wp:anchor distT="0" distB="0" distL="114300" distR="114300" simplePos="0" relativeHeight="251672576" behindDoc="0" locked="0" layoutInCell="1" allowOverlap="1">
                <wp:simplePos x="0" y="0"/>
                <wp:positionH relativeFrom="column">
                  <wp:posOffset>-460375</wp:posOffset>
                </wp:positionH>
                <wp:positionV relativeFrom="paragraph">
                  <wp:posOffset>-546735</wp:posOffset>
                </wp:positionV>
                <wp:extent cx="2690495" cy="294005"/>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269049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附件七</w:t>
                            </w:r>
                            <w:r>
                              <w:rPr>
                                <w:rFonts w:hint="eastAsia"/>
                                <w:b/>
                                <w:bCs/>
                                <w:sz w:val="22"/>
                                <w:szCs w:val="28"/>
                                <w:lang w:val="en-US" w:eastAsia="zh-CN"/>
                              </w:rPr>
                              <w:t xml:space="preserve">  方案实施后检测报告</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25pt;margin-top:-43.05pt;height:23.15pt;width:211.85pt;z-index:251672576;mso-width-relative:page;mso-height-relative:page;" filled="f" stroked="f" coordsize="21600,21600" o:gfxdata="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rD/6twAAAALAQAADwAAAAAAAAABACAAAAAiAAAA&#10;ZHJzL2Rvd25yZXYueG1sUEsBAhQAFAAAAAgAh07iQDlIuYU8AgAAaAQAAA4AAAAAAAAAAQAgAAAA&#10;Kw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附件七</w:t>
                      </w:r>
                      <w:r>
                        <w:rPr>
                          <w:rFonts w:hint="eastAsia"/>
                          <w:b/>
                          <w:bCs/>
                          <w:sz w:val="22"/>
                          <w:szCs w:val="28"/>
                          <w:lang w:val="en-US" w:eastAsia="zh-CN"/>
                        </w:rPr>
                        <w:t xml:space="preserve">  方案实施后检测报告</w:t>
                      </w:r>
                    </w:p>
                    <w:p/>
                  </w:txbxContent>
                </v:textbox>
              </v:shape>
            </w:pict>
          </mc:Fallback>
        </mc:AlternateConten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65420" cy="8310245"/>
            <wp:effectExtent l="0" t="0" r="11430" b="14605"/>
            <wp:docPr id="90" name="图片 9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2"/>
                    <pic:cNvPicPr>
                      <a:picLocks noChangeAspect="1"/>
                    </pic:cNvPicPr>
                  </pic:nvPicPr>
                  <pic:blipFill>
                    <a:blip r:embed="rId142"/>
                    <a:stretch>
                      <a:fillRect/>
                    </a:stretch>
                  </pic:blipFill>
                  <pic:spPr>
                    <a:xfrm>
                      <a:off x="0" y="0"/>
                      <a:ext cx="5265420" cy="8310245"/>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59070" cy="7752715"/>
            <wp:effectExtent l="0" t="0" r="17780" b="635"/>
            <wp:docPr id="91" name="图片 9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3"/>
                    <pic:cNvPicPr>
                      <a:picLocks noChangeAspect="1"/>
                    </pic:cNvPicPr>
                  </pic:nvPicPr>
                  <pic:blipFill>
                    <a:blip r:embed="rId143"/>
                    <a:stretch>
                      <a:fillRect/>
                    </a:stretch>
                  </pic:blipFill>
                  <pic:spPr>
                    <a:xfrm>
                      <a:off x="0" y="0"/>
                      <a:ext cx="5259070" cy="7752715"/>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59070" cy="8169910"/>
            <wp:effectExtent l="0" t="0" r="17780" b="2540"/>
            <wp:docPr id="92" name="图片 9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4"/>
                    <pic:cNvPicPr>
                      <a:picLocks noChangeAspect="1"/>
                    </pic:cNvPicPr>
                  </pic:nvPicPr>
                  <pic:blipFill>
                    <a:blip r:embed="rId144"/>
                    <a:stretch>
                      <a:fillRect/>
                    </a:stretch>
                  </pic:blipFill>
                  <pic:spPr>
                    <a:xfrm>
                      <a:off x="0" y="0"/>
                      <a:ext cx="5259070" cy="8169910"/>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57800" cy="8369935"/>
            <wp:effectExtent l="0" t="0" r="0" b="12065"/>
            <wp:docPr id="93" name="图片 9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5"/>
                    <pic:cNvPicPr>
                      <a:picLocks noChangeAspect="1"/>
                    </pic:cNvPicPr>
                  </pic:nvPicPr>
                  <pic:blipFill>
                    <a:blip r:embed="rId145"/>
                    <a:stretch>
                      <a:fillRect/>
                    </a:stretch>
                  </pic:blipFill>
                  <pic:spPr>
                    <a:xfrm>
                      <a:off x="0" y="0"/>
                      <a:ext cx="5257800" cy="8369935"/>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62880" cy="7993380"/>
            <wp:effectExtent l="0" t="0" r="13970" b="7620"/>
            <wp:docPr id="94" name="图片 94"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6"/>
                    <pic:cNvPicPr>
                      <a:picLocks noChangeAspect="1"/>
                    </pic:cNvPicPr>
                  </pic:nvPicPr>
                  <pic:blipFill>
                    <a:blip r:embed="rId146"/>
                    <a:stretch>
                      <a:fillRect/>
                    </a:stretch>
                  </pic:blipFill>
                  <pic:spPr>
                    <a:xfrm>
                      <a:off x="0" y="0"/>
                      <a:ext cx="5262880" cy="7993380"/>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71135" cy="8189595"/>
            <wp:effectExtent l="0" t="0" r="5715" b="1905"/>
            <wp:docPr id="95" name="图片 95"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7"/>
                    <pic:cNvPicPr>
                      <a:picLocks noChangeAspect="1"/>
                    </pic:cNvPicPr>
                  </pic:nvPicPr>
                  <pic:blipFill>
                    <a:blip r:embed="rId147"/>
                    <a:stretch>
                      <a:fillRect/>
                    </a:stretch>
                  </pic:blipFill>
                  <pic:spPr>
                    <a:xfrm>
                      <a:off x="0" y="0"/>
                      <a:ext cx="5271135" cy="8189595"/>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72405" cy="8560435"/>
            <wp:effectExtent l="0" t="0" r="4445" b="12065"/>
            <wp:docPr id="96" name="图片 96"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8"/>
                    <pic:cNvPicPr>
                      <a:picLocks noChangeAspect="1"/>
                    </pic:cNvPicPr>
                  </pic:nvPicPr>
                  <pic:blipFill>
                    <a:blip r:embed="rId148"/>
                    <a:stretch>
                      <a:fillRect/>
                    </a:stretch>
                  </pic:blipFill>
                  <pic:spPr>
                    <a:xfrm>
                      <a:off x="0" y="0"/>
                      <a:ext cx="5272405" cy="8560435"/>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64785" cy="8223885"/>
            <wp:effectExtent l="0" t="0" r="12065" b="5715"/>
            <wp:docPr id="101" name="图片 10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9"/>
                    <pic:cNvPicPr>
                      <a:picLocks noChangeAspect="1"/>
                    </pic:cNvPicPr>
                  </pic:nvPicPr>
                  <pic:blipFill>
                    <a:blip r:embed="rId149"/>
                    <a:stretch>
                      <a:fillRect/>
                    </a:stretch>
                  </pic:blipFill>
                  <pic:spPr>
                    <a:xfrm>
                      <a:off x="0" y="0"/>
                      <a:ext cx="5264785" cy="8223885"/>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62880" cy="7974965"/>
            <wp:effectExtent l="0" t="0" r="13970" b="6985"/>
            <wp:docPr id="102" name="图片 10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10"/>
                    <pic:cNvPicPr>
                      <a:picLocks noChangeAspect="1"/>
                    </pic:cNvPicPr>
                  </pic:nvPicPr>
                  <pic:blipFill>
                    <a:blip r:embed="rId150"/>
                    <a:stretch>
                      <a:fillRect/>
                    </a:stretch>
                  </pic:blipFill>
                  <pic:spPr>
                    <a:xfrm>
                      <a:off x="0" y="0"/>
                      <a:ext cx="5262880" cy="7974965"/>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57800" cy="7614920"/>
            <wp:effectExtent l="0" t="0" r="0" b="5080"/>
            <wp:docPr id="109" name="图片 109"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11"/>
                    <pic:cNvPicPr>
                      <a:picLocks noChangeAspect="1"/>
                    </pic:cNvPicPr>
                  </pic:nvPicPr>
                  <pic:blipFill>
                    <a:blip r:embed="rId151"/>
                    <a:stretch>
                      <a:fillRect/>
                    </a:stretch>
                  </pic:blipFill>
                  <pic:spPr>
                    <a:xfrm>
                      <a:off x="0" y="0"/>
                      <a:ext cx="5257800" cy="7614920"/>
                    </a:xfrm>
                    <a:prstGeom prst="rect">
                      <a:avLst/>
                    </a:prstGeom>
                  </pic:spPr>
                </pic:pic>
              </a:graphicData>
            </a:graphic>
          </wp:inline>
        </w:drawing>
      </w:r>
    </w:p>
    <w:p>
      <w:pPr>
        <w:pStyle w:val="2"/>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eastAsiaTheme="minorEastAsia"/>
          <w:lang w:eastAsia="zh-CN"/>
        </w:rPr>
        <w:drawing>
          <wp:inline distT="0" distB="0" distL="114300" distR="114300">
            <wp:extent cx="5259705" cy="8253095"/>
            <wp:effectExtent l="0" t="0" r="17145" b="14605"/>
            <wp:docPr id="110" name="图片 110"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12"/>
                    <pic:cNvPicPr>
                      <a:picLocks noChangeAspect="1"/>
                    </pic:cNvPicPr>
                  </pic:nvPicPr>
                  <pic:blipFill>
                    <a:blip r:embed="rId152"/>
                    <a:stretch>
                      <a:fillRect/>
                    </a:stretch>
                  </pic:blipFill>
                  <pic:spPr>
                    <a:xfrm>
                      <a:off x="0" y="0"/>
                      <a:ext cx="5259705" cy="8253095"/>
                    </a:xfrm>
                    <a:prstGeom prst="rect">
                      <a:avLst/>
                    </a:prstGeom>
                  </pic:spPr>
                </pic:pic>
              </a:graphicData>
            </a:graphic>
          </wp:inline>
        </w:drawing>
      </w:r>
    </w:p>
    <w:p>
      <w:pPr>
        <w:rPr>
          <w:rFonts w:hint="default" w:ascii="Times New Roman" w:hAnsi="Times New Roman" w:cs="Times New Roman"/>
        </w:rPr>
      </w:pPr>
      <w:r>
        <w:rPr>
          <w:rFonts w:hint="default" w:ascii="Times New Roman" w:hAnsi="Times New Roman" w:cs="Times New Roman"/>
          <w:sz w:val="22"/>
        </w:rPr>
        <mc:AlternateContent>
          <mc:Choice Requires="wps">
            <w:drawing>
              <wp:anchor distT="0" distB="0" distL="114300" distR="114300" simplePos="0" relativeHeight="251688960" behindDoc="0" locked="0" layoutInCell="1" allowOverlap="1">
                <wp:simplePos x="0" y="0"/>
                <wp:positionH relativeFrom="column">
                  <wp:posOffset>-584200</wp:posOffset>
                </wp:positionH>
                <wp:positionV relativeFrom="paragraph">
                  <wp:posOffset>-588645</wp:posOffset>
                </wp:positionV>
                <wp:extent cx="1746885" cy="294005"/>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74688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附件八</w:t>
                            </w:r>
                            <w:r>
                              <w:rPr>
                                <w:rFonts w:hint="eastAsia"/>
                                <w:b/>
                                <w:bCs/>
                                <w:sz w:val="22"/>
                                <w:szCs w:val="28"/>
                                <w:lang w:val="en-US" w:eastAsia="zh-CN"/>
                              </w:rPr>
                              <w:t xml:space="preserve">  环保手续文件</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pt;margin-top:-46.35pt;height:23.15pt;width:137.55pt;z-index:251688960;mso-width-relative:page;mso-height-relative:page;" filled="f" stroked="f" coordsize="21600,21600" o:gfxdata="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TL6ctsAAAALAQAADwAAAAAAAAABACAAAAAiAAAA&#10;ZHJzL2Rvd25yZXYueG1sUEsBAhQAFAAAAAgAh07iQDlpUkA9AgAAaAQAAA4AAAAAAAAAAQAgAAAA&#10;Kg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附件八</w:t>
                      </w:r>
                      <w:r>
                        <w:rPr>
                          <w:rFonts w:hint="eastAsia"/>
                          <w:b/>
                          <w:bCs/>
                          <w:sz w:val="22"/>
                          <w:szCs w:val="28"/>
                          <w:lang w:val="en-US" w:eastAsia="zh-CN"/>
                        </w:rPr>
                        <w:t xml:space="preserve">  环保手续文件</w:t>
                      </w:r>
                    </w:p>
                    <w:p/>
                  </w:txbxContent>
                </v:textbox>
              </v:shape>
            </w:pict>
          </mc:Fallback>
        </mc:AlternateContent>
      </w:r>
      <w:r>
        <w:rPr>
          <w:rFonts w:hint="default" w:ascii="Times New Roman" w:hAnsi="Times New Roman" w:eastAsia="宋体" w:cs="Times New Roman"/>
          <w:lang w:eastAsia="zh-CN"/>
        </w:rPr>
        <w:drawing>
          <wp:anchor distT="0" distB="0" distL="114300" distR="114300" simplePos="0" relativeHeight="251694080" behindDoc="1" locked="0" layoutInCell="1" allowOverlap="1">
            <wp:simplePos x="0" y="0"/>
            <wp:positionH relativeFrom="column">
              <wp:posOffset>-1129030</wp:posOffset>
            </wp:positionH>
            <wp:positionV relativeFrom="paragraph">
              <wp:posOffset>-894080</wp:posOffset>
            </wp:positionV>
            <wp:extent cx="7513320" cy="10140315"/>
            <wp:effectExtent l="9525" t="9525" r="20955" b="22860"/>
            <wp:wrapNone/>
            <wp:docPr id="97" name="图片 8" descr="俊业现状评估_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8" descr="俊业现状评估_106"/>
                    <pic:cNvPicPr>
                      <a:picLocks noChangeAspect="1"/>
                    </pic:cNvPicPr>
                  </pic:nvPicPr>
                  <pic:blipFill>
                    <a:blip r:embed="rId153"/>
                    <a:srcRect t="4601"/>
                    <a:stretch>
                      <a:fillRect/>
                    </a:stretch>
                  </pic:blipFill>
                  <pic:spPr>
                    <a:xfrm>
                      <a:off x="0" y="0"/>
                      <a:ext cx="7513320" cy="10140315"/>
                    </a:xfrm>
                    <a:prstGeom prst="rect">
                      <a:avLst/>
                    </a:prstGeom>
                    <a:noFill/>
                    <a:ln w="6350" cap="flat" cmpd="sng">
                      <a:solidFill>
                        <a:srgbClr val="000000"/>
                      </a:solidFill>
                      <a:prstDash val="solid"/>
                      <a:round/>
                      <a:headEnd type="none" w="med" len="med"/>
                      <a:tailEnd type="none" w="med" len="med"/>
                    </a:ln>
                  </pic:spPr>
                </pic:pic>
              </a:graphicData>
            </a:graphic>
          </wp:anchor>
        </w:drawing>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2"/>
        </w:rPr>
        <w:drawing>
          <wp:anchor distT="0" distB="0" distL="114300" distR="114300" simplePos="0" relativeHeight="251737088" behindDoc="0" locked="0" layoutInCell="1" allowOverlap="1">
            <wp:simplePos x="0" y="0"/>
            <wp:positionH relativeFrom="column">
              <wp:posOffset>-752475</wp:posOffset>
            </wp:positionH>
            <wp:positionV relativeFrom="paragraph">
              <wp:posOffset>-211455</wp:posOffset>
            </wp:positionV>
            <wp:extent cx="6697345" cy="9248775"/>
            <wp:effectExtent l="0" t="0" r="8255" b="9525"/>
            <wp:wrapNone/>
            <wp:docPr id="72" name="图片 72" descr="f4be5098d01af5529994bc418b60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f4be5098d01af5529994bc418b60702"/>
                    <pic:cNvPicPr>
                      <a:picLocks noChangeAspect="1"/>
                    </pic:cNvPicPr>
                  </pic:nvPicPr>
                  <pic:blipFill>
                    <a:blip r:embed="rId154"/>
                    <a:stretch>
                      <a:fillRect/>
                    </a:stretch>
                  </pic:blipFill>
                  <pic:spPr>
                    <a:xfrm rot="10800000">
                      <a:off x="0" y="0"/>
                      <a:ext cx="6697345" cy="9248775"/>
                    </a:xfrm>
                    <a:prstGeom prst="rect">
                      <a:avLst/>
                    </a:prstGeom>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251689984" behindDoc="0" locked="0" layoutInCell="1" allowOverlap="1">
                <wp:simplePos x="0" y="0"/>
                <wp:positionH relativeFrom="column">
                  <wp:posOffset>-450850</wp:posOffset>
                </wp:positionH>
                <wp:positionV relativeFrom="paragraph">
                  <wp:posOffset>-565785</wp:posOffset>
                </wp:positionV>
                <wp:extent cx="1746885" cy="294005"/>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74688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附件九</w:t>
                            </w:r>
                            <w:r>
                              <w:rPr>
                                <w:rFonts w:hint="eastAsia"/>
                                <w:b/>
                                <w:bCs/>
                                <w:sz w:val="22"/>
                                <w:szCs w:val="28"/>
                                <w:lang w:val="en-US" w:eastAsia="zh-CN"/>
                              </w:rPr>
                              <w:t xml:space="preserve">  排污许可证</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37.55pt;z-index:251689984;mso-width-relative:page;mso-height-relative:page;" filled="f" stroked="f" coordsize="21600,21600" o:gfxdata="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n/1BdsAAAALAQAADwAAAAAAAAABACAAAAAiAAAA&#10;ZHJzL2Rvd25yZXYueG1sUEsBAhQAFAAAAAgAh07iQOu10Ew9AgAAaAQAAA4AAAAAAAAAAQAgAAAA&#10;Kg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附件九</w:t>
                      </w:r>
                      <w:r>
                        <w:rPr>
                          <w:rFonts w:hint="eastAsia"/>
                          <w:b/>
                          <w:bCs/>
                          <w:sz w:val="22"/>
                          <w:szCs w:val="28"/>
                          <w:lang w:val="en-US" w:eastAsia="zh-CN"/>
                        </w:rPr>
                        <w:t xml:space="preserve">  排污许可证</w:t>
                      </w:r>
                    </w:p>
                    <w:p/>
                  </w:txbxContent>
                </v:textbox>
              </v:shape>
            </w:pict>
          </mc:Fallback>
        </mc:AlternateConten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93056" behindDoc="1" locked="0" layoutInCell="1" allowOverlap="1">
            <wp:simplePos x="0" y="0"/>
            <wp:positionH relativeFrom="column">
              <wp:posOffset>-1114425</wp:posOffset>
            </wp:positionH>
            <wp:positionV relativeFrom="paragraph">
              <wp:posOffset>-902970</wp:posOffset>
            </wp:positionV>
            <wp:extent cx="7493000" cy="10619105"/>
            <wp:effectExtent l="0" t="0" r="12700" b="10795"/>
            <wp:wrapNone/>
            <wp:docPr id="5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1"/>
                    <pic:cNvPicPr>
                      <a:picLocks noChangeAspect="1"/>
                    </pic:cNvPicPr>
                  </pic:nvPicPr>
                  <pic:blipFill>
                    <a:blip r:embed="rId155"/>
                    <a:stretch>
                      <a:fillRect/>
                    </a:stretch>
                  </pic:blipFill>
                  <pic:spPr>
                    <a:xfrm>
                      <a:off x="0" y="0"/>
                      <a:ext cx="7493000" cy="10619105"/>
                    </a:xfrm>
                    <a:prstGeom prst="rect">
                      <a:avLst/>
                    </a:prstGeom>
                    <a:noFill/>
                    <a:ln>
                      <a:noFill/>
                    </a:ln>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251691008" behindDoc="0" locked="0" layoutInCell="1" allowOverlap="1">
                <wp:simplePos x="0" y="0"/>
                <wp:positionH relativeFrom="column">
                  <wp:posOffset>-450850</wp:posOffset>
                </wp:positionH>
                <wp:positionV relativeFrom="paragraph">
                  <wp:posOffset>-565785</wp:posOffset>
                </wp:positionV>
                <wp:extent cx="1746885" cy="294005"/>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74688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附件十</w:t>
                            </w:r>
                            <w:r>
                              <w:rPr>
                                <w:rFonts w:hint="eastAsia"/>
                                <w:b/>
                                <w:bCs/>
                                <w:sz w:val="22"/>
                                <w:szCs w:val="28"/>
                                <w:lang w:val="en-US" w:eastAsia="zh-CN"/>
                              </w:rPr>
                              <w:t xml:space="preserve">  危废转运协议</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37.55pt;z-index:251691008;mso-width-relative:page;mso-height-relative:page;" filled="f" stroked="f" coordsize="21600,21600" o:gfxdata="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&#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n/1BdsAAAALAQAADwAAAAAAAAABACAAAAAiAAAA&#10;ZHJzL2Rvd25yZXYueG1sUEsBAhQAFAAAAAgAh07iQFF8eiU9AgAAaAQAAA4AAAAAAAAAAQAgAAAA&#10;Kg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附件十</w:t>
                      </w:r>
                      <w:r>
                        <w:rPr>
                          <w:rFonts w:hint="eastAsia"/>
                          <w:b/>
                          <w:bCs/>
                          <w:sz w:val="22"/>
                          <w:szCs w:val="28"/>
                          <w:lang w:val="en-US" w:eastAsia="zh-CN"/>
                        </w:rPr>
                        <w:t xml:space="preserve">  危废转运协议</w:t>
                      </w:r>
                    </w:p>
                    <w:p/>
                  </w:txbxContent>
                </v:textbox>
              </v:shape>
            </w:pict>
          </mc:Fallback>
        </mc:AlternateConten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93056" behindDoc="0" locked="0" layoutInCell="1" allowOverlap="1">
            <wp:simplePos x="0" y="0"/>
            <wp:positionH relativeFrom="column">
              <wp:posOffset>-1143000</wp:posOffset>
            </wp:positionH>
            <wp:positionV relativeFrom="paragraph">
              <wp:posOffset>-906780</wp:posOffset>
            </wp:positionV>
            <wp:extent cx="7628890" cy="10589260"/>
            <wp:effectExtent l="0" t="0" r="10160" b="2540"/>
            <wp:wrapNone/>
            <wp:docPr id="55"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2"/>
                    <pic:cNvPicPr>
                      <a:picLocks noChangeAspect="1"/>
                    </pic:cNvPicPr>
                  </pic:nvPicPr>
                  <pic:blipFill>
                    <a:blip r:embed="rId156"/>
                    <a:stretch>
                      <a:fillRect/>
                    </a:stretch>
                  </pic:blipFill>
                  <pic:spPr>
                    <a:xfrm>
                      <a:off x="0" y="0"/>
                      <a:ext cx="7628890" cy="10589260"/>
                    </a:xfrm>
                    <a:prstGeom prst="rect">
                      <a:avLst/>
                    </a:prstGeom>
                    <a:noFill/>
                    <a:ln>
                      <a:noFill/>
                    </a:ln>
                  </pic:spPr>
                </pic:pic>
              </a:graphicData>
            </a:graphic>
          </wp:anchor>
        </w:drawing>
      </w:r>
    </w:p>
    <w:p>
      <w:pPr>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74624" behindDoc="0" locked="0" layoutInCell="1" allowOverlap="1">
            <wp:simplePos x="0" y="0"/>
            <wp:positionH relativeFrom="column">
              <wp:posOffset>-2737485</wp:posOffset>
            </wp:positionH>
            <wp:positionV relativeFrom="paragraph">
              <wp:posOffset>906780</wp:posOffset>
            </wp:positionV>
            <wp:extent cx="10438765" cy="6792595"/>
            <wp:effectExtent l="0" t="0" r="8255" b="635"/>
            <wp:wrapNone/>
            <wp:docPr id="5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3"/>
                    <pic:cNvPicPr>
                      <a:picLocks noChangeAspect="1"/>
                    </pic:cNvPicPr>
                  </pic:nvPicPr>
                  <pic:blipFill>
                    <a:blip r:embed="rId157"/>
                    <a:stretch>
                      <a:fillRect/>
                    </a:stretch>
                  </pic:blipFill>
                  <pic:spPr>
                    <a:xfrm rot="5400000">
                      <a:off x="0" y="0"/>
                      <a:ext cx="10438765" cy="6792595"/>
                    </a:xfrm>
                    <a:prstGeom prst="rect">
                      <a:avLst/>
                    </a:prstGeom>
                    <a:noFill/>
                    <a:ln>
                      <a:noFill/>
                    </a:ln>
                  </pic:spPr>
                </pic:pic>
              </a:graphicData>
            </a:graphic>
          </wp:anchor>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75648" behindDoc="0" locked="0" layoutInCell="1" allowOverlap="1">
            <wp:simplePos x="0" y="0"/>
            <wp:positionH relativeFrom="column">
              <wp:posOffset>-2480945</wp:posOffset>
            </wp:positionH>
            <wp:positionV relativeFrom="paragraph">
              <wp:posOffset>1011555</wp:posOffset>
            </wp:positionV>
            <wp:extent cx="10372090" cy="6839585"/>
            <wp:effectExtent l="0" t="0" r="18415" b="10160"/>
            <wp:wrapNone/>
            <wp:docPr id="6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4"/>
                    <pic:cNvPicPr>
                      <a:picLocks noChangeAspect="1"/>
                    </pic:cNvPicPr>
                  </pic:nvPicPr>
                  <pic:blipFill>
                    <a:blip r:embed="rId158"/>
                    <a:stretch>
                      <a:fillRect/>
                    </a:stretch>
                  </pic:blipFill>
                  <pic:spPr>
                    <a:xfrm rot="5400000">
                      <a:off x="0" y="0"/>
                      <a:ext cx="10372090" cy="6839585"/>
                    </a:xfrm>
                    <a:prstGeom prst="rect">
                      <a:avLst/>
                    </a:prstGeom>
                    <a:noFill/>
                    <a:ln>
                      <a:noFill/>
                    </a:ln>
                  </pic:spPr>
                </pic:pic>
              </a:graphicData>
            </a:graphic>
          </wp:anchor>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76672" behindDoc="0" locked="0" layoutInCell="1" allowOverlap="1">
            <wp:simplePos x="0" y="0"/>
            <wp:positionH relativeFrom="column">
              <wp:posOffset>-3100705</wp:posOffset>
            </wp:positionH>
            <wp:positionV relativeFrom="paragraph">
              <wp:posOffset>1050925</wp:posOffset>
            </wp:positionV>
            <wp:extent cx="10946765" cy="7031355"/>
            <wp:effectExtent l="0" t="0" r="17145" b="6985"/>
            <wp:wrapNone/>
            <wp:docPr id="6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5"/>
                    <pic:cNvPicPr>
                      <a:picLocks noChangeAspect="1"/>
                    </pic:cNvPicPr>
                  </pic:nvPicPr>
                  <pic:blipFill>
                    <a:blip r:embed="rId159"/>
                    <a:stretch>
                      <a:fillRect/>
                    </a:stretch>
                  </pic:blipFill>
                  <pic:spPr>
                    <a:xfrm rot="5400000">
                      <a:off x="0" y="0"/>
                      <a:ext cx="10946765" cy="7031355"/>
                    </a:xfrm>
                    <a:prstGeom prst="rect">
                      <a:avLst/>
                    </a:prstGeom>
                    <a:noFill/>
                    <a:ln>
                      <a:noFill/>
                    </a:ln>
                  </pic:spPr>
                </pic:pic>
              </a:graphicData>
            </a:graphic>
          </wp:anchor>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77696" behindDoc="0" locked="0" layoutInCell="1" allowOverlap="1">
            <wp:simplePos x="0" y="0"/>
            <wp:positionH relativeFrom="column">
              <wp:posOffset>-2640965</wp:posOffset>
            </wp:positionH>
            <wp:positionV relativeFrom="paragraph">
              <wp:posOffset>1001395</wp:posOffset>
            </wp:positionV>
            <wp:extent cx="10654030" cy="6933565"/>
            <wp:effectExtent l="0" t="0" r="635" b="13970"/>
            <wp:wrapNone/>
            <wp:docPr id="63"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6"/>
                    <pic:cNvPicPr>
                      <a:picLocks noChangeAspect="1"/>
                    </pic:cNvPicPr>
                  </pic:nvPicPr>
                  <pic:blipFill>
                    <a:blip r:embed="rId160"/>
                    <a:stretch>
                      <a:fillRect/>
                    </a:stretch>
                  </pic:blipFill>
                  <pic:spPr>
                    <a:xfrm rot="5400000">
                      <a:off x="0" y="0"/>
                      <a:ext cx="10654030" cy="6933565"/>
                    </a:xfrm>
                    <a:prstGeom prst="rect">
                      <a:avLst/>
                    </a:prstGeom>
                    <a:noFill/>
                    <a:ln>
                      <a:noFill/>
                    </a:ln>
                  </pic:spPr>
                </pic:pic>
              </a:graphicData>
            </a:graphic>
          </wp:anchor>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51660288" behindDoc="0" locked="0" layoutInCell="1" allowOverlap="1">
            <wp:simplePos x="0" y="0"/>
            <wp:positionH relativeFrom="column">
              <wp:posOffset>-2615565</wp:posOffset>
            </wp:positionH>
            <wp:positionV relativeFrom="paragraph">
              <wp:posOffset>1005205</wp:posOffset>
            </wp:positionV>
            <wp:extent cx="10632440" cy="6909435"/>
            <wp:effectExtent l="0" t="0" r="5715" b="16510"/>
            <wp:wrapNone/>
            <wp:docPr id="6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7"/>
                    <pic:cNvPicPr>
                      <a:picLocks noChangeAspect="1"/>
                    </pic:cNvPicPr>
                  </pic:nvPicPr>
                  <pic:blipFill>
                    <a:blip r:embed="rId161"/>
                    <a:stretch>
                      <a:fillRect/>
                    </a:stretch>
                  </pic:blipFill>
                  <pic:spPr>
                    <a:xfrm rot="16200000">
                      <a:off x="0" y="0"/>
                      <a:ext cx="10632440" cy="6909435"/>
                    </a:xfrm>
                    <a:prstGeom prst="rect">
                      <a:avLst/>
                    </a:prstGeom>
                    <a:noFill/>
                    <a:ln>
                      <a:noFill/>
                    </a:ln>
                  </pic:spPr>
                </pic:pic>
              </a:graphicData>
            </a:graphic>
          </wp:anchor>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2"/>
          <w:u w:val="none"/>
        </w:rPr>
        <w:drawing>
          <wp:anchor distT="0" distB="0" distL="114300" distR="114300" simplePos="0" relativeHeight="251739136" behindDoc="0" locked="0" layoutInCell="1" allowOverlap="1">
            <wp:simplePos x="0" y="0"/>
            <wp:positionH relativeFrom="column">
              <wp:posOffset>-742950</wp:posOffset>
            </wp:positionH>
            <wp:positionV relativeFrom="paragraph">
              <wp:posOffset>-11430</wp:posOffset>
            </wp:positionV>
            <wp:extent cx="6609080" cy="9055735"/>
            <wp:effectExtent l="0" t="0" r="1270" b="12065"/>
            <wp:wrapNone/>
            <wp:docPr id="74" name="图片 74" descr="73940a9d0519eef98b38940f1c5e2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73940a9d0519eef98b38940f1c5e2d0"/>
                    <pic:cNvPicPr>
                      <a:picLocks noChangeAspect="1"/>
                    </pic:cNvPicPr>
                  </pic:nvPicPr>
                  <pic:blipFill>
                    <a:blip r:embed="rId162"/>
                    <a:stretch>
                      <a:fillRect/>
                    </a:stretch>
                  </pic:blipFill>
                  <pic:spPr>
                    <a:xfrm>
                      <a:off x="0" y="0"/>
                      <a:ext cx="6609080" cy="9055735"/>
                    </a:xfrm>
                    <a:prstGeom prst="rect">
                      <a:avLst/>
                    </a:prstGeom>
                  </pic:spPr>
                </pic:pic>
              </a:graphicData>
            </a:graphic>
          </wp:anchor>
        </w:drawing>
      </w:r>
      <w:r>
        <w:rPr>
          <w:rFonts w:hint="default" w:ascii="Times New Roman" w:hAnsi="Times New Roman" w:cs="Times New Roman"/>
          <w:sz w:val="22"/>
          <w:u w:val="none"/>
        </w:rPr>
        <mc:AlternateContent>
          <mc:Choice Requires="wps">
            <w:drawing>
              <wp:anchor distT="0" distB="0" distL="114300" distR="114300" simplePos="0" relativeHeight="251738112" behindDoc="0" locked="0" layoutInCell="1" allowOverlap="1">
                <wp:simplePos x="0" y="0"/>
                <wp:positionH relativeFrom="column">
                  <wp:posOffset>-708660</wp:posOffset>
                </wp:positionH>
                <wp:positionV relativeFrom="paragraph">
                  <wp:posOffset>-484505</wp:posOffset>
                </wp:positionV>
                <wp:extent cx="2005965" cy="294005"/>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200596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附件十一</w:t>
                            </w:r>
                            <w:r>
                              <w:rPr>
                                <w:rFonts w:hint="eastAsia"/>
                                <w:b/>
                                <w:bCs/>
                                <w:sz w:val="22"/>
                                <w:szCs w:val="28"/>
                                <w:lang w:val="en-US" w:eastAsia="zh-CN"/>
                              </w:rPr>
                              <w:t xml:space="preserve">  中高费实施合同</w:t>
                            </w:r>
                          </w:p>
                          <w:p>
                            <w:pPr>
                              <w:keepNext w:val="0"/>
                              <w:keepLines w:val="0"/>
                              <w:widowControl/>
                              <w:suppressLineNumbers w:val="0"/>
                              <w:jc w:val="left"/>
                            </w:pP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8pt;margin-top:-38.15pt;height:23.15pt;width:157.95pt;z-index:251738112;mso-width-relative:page;mso-height-relative:page;" filled="f" stroked="f" coordsize="21600,21600" o:gfxdata="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&#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1Yfr/bAAAADAEAAA8AAAAAAAAAAQAgAAAAIgAAAGRy&#10;cy9kb3ducmV2LnhtbFBLAQIUABQAAAAIAIdO4kCggFmoOwIAAGgEAAAOAAAAAAAAAAEAIAAAACoB&#10;AABkcnMvZTJvRG9jLnhtbFBLBQYAAAAABgAGAFkBAADXBQAAAAA=&#10;">
                <v:fill on="f" focussize="0,0"/>
                <v:stroke on="f" weight="0.5pt"/>
                <v:imagedata o:title=""/>
                <o:lock v:ext="edit" aspectratio="f"/>
                <v:textbo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附件十一</w:t>
                      </w:r>
                      <w:r>
                        <w:rPr>
                          <w:rFonts w:hint="eastAsia"/>
                          <w:b/>
                          <w:bCs/>
                          <w:sz w:val="22"/>
                          <w:szCs w:val="28"/>
                          <w:lang w:val="en-US" w:eastAsia="zh-CN"/>
                        </w:rPr>
                        <w:t xml:space="preserve">  中高费实施合同</w:t>
                      </w:r>
                    </w:p>
                    <w:p>
                      <w:pPr>
                        <w:keepNext w:val="0"/>
                        <w:keepLines w:val="0"/>
                        <w:widowControl/>
                        <w:suppressLineNumbers w:val="0"/>
                        <w:jc w:val="left"/>
                      </w:pPr>
                    </w:p>
                    <w:p/>
                  </w:txbxContent>
                </v:textbox>
              </v:shape>
            </w:pict>
          </mc:Fallback>
        </mc:AlternateContent>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lang w:val="en-US" w:eastAsia="zh-CN"/>
        </w:rPr>
        <w:drawing>
          <wp:anchor distT="0" distB="0" distL="114300" distR="114300" simplePos="0" relativeHeight="251740160" behindDoc="0" locked="0" layoutInCell="1" allowOverlap="1">
            <wp:simplePos x="0" y="0"/>
            <wp:positionH relativeFrom="column">
              <wp:posOffset>-876300</wp:posOffset>
            </wp:positionH>
            <wp:positionV relativeFrom="paragraph">
              <wp:posOffset>-358140</wp:posOffset>
            </wp:positionV>
            <wp:extent cx="6786880" cy="9106535"/>
            <wp:effectExtent l="0" t="0" r="13970" b="18415"/>
            <wp:wrapNone/>
            <wp:docPr id="75" name="图片 75" descr="ce191f128d7053b8a9bbd4aeba86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ce191f128d7053b8a9bbd4aeba86457"/>
                    <pic:cNvPicPr>
                      <a:picLocks noChangeAspect="1"/>
                    </pic:cNvPicPr>
                  </pic:nvPicPr>
                  <pic:blipFill>
                    <a:blip r:embed="rId163"/>
                    <a:stretch>
                      <a:fillRect/>
                    </a:stretch>
                  </pic:blipFill>
                  <pic:spPr>
                    <a:xfrm>
                      <a:off x="0" y="0"/>
                      <a:ext cx="6786880" cy="9106535"/>
                    </a:xfrm>
                    <a:prstGeom prst="rect">
                      <a:avLst/>
                    </a:prstGeom>
                  </pic:spPr>
                </pic:pic>
              </a:graphicData>
            </a:graphic>
          </wp:anchor>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lang w:val="en-US" w:eastAsia="zh-CN"/>
        </w:rPr>
        <w:drawing>
          <wp:anchor distT="0" distB="0" distL="114300" distR="114300" simplePos="0" relativeHeight="251741184" behindDoc="0" locked="0" layoutInCell="1" allowOverlap="1">
            <wp:simplePos x="0" y="0"/>
            <wp:positionH relativeFrom="column">
              <wp:posOffset>-971550</wp:posOffset>
            </wp:positionH>
            <wp:positionV relativeFrom="paragraph">
              <wp:posOffset>-481965</wp:posOffset>
            </wp:positionV>
            <wp:extent cx="7060565" cy="9422130"/>
            <wp:effectExtent l="0" t="0" r="6985" b="7620"/>
            <wp:wrapNone/>
            <wp:docPr id="76" name="图片 76" descr="78c798d24caede739caba39a861af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78c798d24caede739caba39a861af39"/>
                    <pic:cNvPicPr>
                      <a:picLocks noChangeAspect="1"/>
                    </pic:cNvPicPr>
                  </pic:nvPicPr>
                  <pic:blipFill>
                    <a:blip r:embed="rId164"/>
                    <a:stretch>
                      <a:fillRect/>
                    </a:stretch>
                  </pic:blipFill>
                  <pic:spPr>
                    <a:xfrm>
                      <a:off x="0" y="0"/>
                      <a:ext cx="7060565" cy="9422130"/>
                    </a:xfrm>
                    <a:prstGeom prst="rect">
                      <a:avLst/>
                    </a:prstGeom>
                  </pic:spPr>
                </pic:pic>
              </a:graphicData>
            </a:graphic>
          </wp:anchor>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51743232" behindDoc="0" locked="0" layoutInCell="1" allowOverlap="1">
            <wp:simplePos x="0" y="0"/>
            <wp:positionH relativeFrom="column">
              <wp:posOffset>-638175</wp:posOffset>
            </wp:positionH>
            <wp:positionV relativeFrom="paragraph">
              <wp:posOffset>-87630</wp:posOffset>
            </wp:positionV>
            <wp:extent cx="6460490" cy="8750935"/>
            <wp:effectExtent l="0" t="0" r="16510" b="12065"/>
            <wp:wrapNone/>
            <wp:docPr id="78"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60"/>
                    <pic:cNvPicPr>
                      <a:picLocks noChangeAspect="1"/>
                    </pic:cNvPicPr>
                  </pic:nvPicPr>
                  <pic:blipFill>
                    <a:blip r:embed="rId165"/>
                    <a:stretch>
                      <a:fillRect/>
                    </a:stretch>
                  </pic:blipFill>
                  <pic:spPr>
                    <a:xfrm>
                      <a:off x="0" y="0"/>
                      <a:ext cx="6460490" cy="8750935"/>
                    </a:xfrm>
                    <a:prstGeom prst="rect">
                      <a:avLst/>
                    </a:prstGeom>
                    <a:noFill/>
                    <a:ln>
                      <a:noFill/>
                    </a:ln>
                  </pic:spPr>
                </pic:pic>
              </a:graphicData>
            </a:graphic>
          </wp:anchor>
        </w:drawing>
      </w:r>
      <w:r>
        <w:rPr>
          <w:rFonts w:hint="default" w:ascii="Times New Roman" w:hAnsi="Times New Roman" w:cs="Times New Roman"/>
          <w:sz w:val="22"/>
          <w:u w:val="none"/>
        </w:rPr>
        <mc:AlternateContent>
          <mc:Choice Requires="wps">
            <w:drawing>
              <wp:anchor distT="0" distB="0" distL="114300" distR="114300" simplePos="0" relativeHeight="251742208" behindDoc="0" locked="0" layoutInCell="1" allowOverlap="1">
                <wp:simplePos x="0" y="0"/>
                <wp:positionH relativeFrom="column">
                  <wp:posOffset>-489585</wp:posOffset>
                </wp:positionH>
                <wp:positionV relativeFrom="paragraph">
                  <wp:posOffset>-543560</wp:posOffset>
                </wp:positionV>
                <wp:extent cx="2746375" cy="294005"/>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274637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附件十二</w:t>
                            </w:r>
                            <w:r>
                              <w:rPr>
                                <w:rFonts w:hint="eastAsia"/>
                                <w:b/>
                                <w:bCs/>
                                <w:sz w:val="22"/>
                                <w:szCs w:val="28"/>
                                <w:lang w:val="en-US" w:eastAsia="zh-CN"/>
                              </w:rPr>
                              <w:t xml:space="preserve">  项目清洁生产中期审核意见</w:t>
                            </w:r>
                          </w:p>
                          <w:p>
                            <w:pPr>
                              <w:keepNext w:val="0"/>
                              <w:keepLines w:val="0"/>
                              <w:widowControl/>
                              <w:suppressLineNumbers w:val="0"/>
                              <w:jc w:val="left"/>
                            </w:pP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55pt;margin-top:-42.8pt;height:23.15pt;width:216.25pt;z-index:251742208;mso-width-relative:page;mso-height-relative:page;" filled="f" stroked="f" coordsize="21600,21600" o:gfxdata="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IZrtY3AAAAAsBAAAPAAAAAAAAAAEAIAAAACIA&#10;AABkcnMvZG93bnJldi54bWxQSwECFAAUAAAACACHTuJA58R9jT4CAABqBAAADgAAAAAAAAABACAA&#10;AAArAQAAZHJzL2Uyb0RvYy54bWxQSwUGAAAAAAYABgBZAQAA2wUAAAAA&#10;">
                <v:fill on="f" focussize="0,0"/>
                <v:stroke on="f" weight="0.5pt"/>
                <v:imagedata o:title=""/>
                <o:lock v:ext="edit" aspectratio="f"/>
                <v:textbo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附件十二</w:t>
                      </w:r>
                      <w:r>
                        <w:rPr>
                          <w:rFonts w:hint="eastAsia"/>
                          <w:b/>
                          <w:bCs/>
                          <w:sz w:val="22"/>
                          <w:szCs w:val="28"/>
                          <w:lang w:val="en-US" w:eastAsia="zh-CN"/>
                        </w:rPr>
                        <w:t xml:space="preserve">  项目清洁生产中期审核意见</w:t>
                      </w:r>
                    </w:p>
                    <w:p>
                      <w:pPr>
                        <w:keepNext w:val="0"/>
                        <w:keepLines w:val="0"/>
                        <w:widowControl/>
                        <w:suppressLineNumbers w:val="0"/>
                        <w:jc w:val="left"/>
                      </w:pPr>
                    </w:p>
                    <w:p/>
                  </w:txbxContent>
                </v:textbox>
              </v:shape>
            </w:pict>
          </mc:Fallback>
        </mc:AlternateContent>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51744256" behindDoc="0" locked="0" layoutInCell="1" allowOverlap="1">
            <wp:simplePos x="0" y="0"/>
            <wp:positionH relativeFrom="column">
              <wp:posOffset>-752475</wp:posOffset>
            </wp:positionH>
            <wp:positionV relativeFrom="paragraph">
              <wp:posOffset>-367665</wp:posOffset>
            </wp:positionV>
            <wp:extent cx="6804025" cy="9050020"/>
            <wp:effectExtent l="0" t="0" r="15875" b="17780"/>
            <wp:wrapNone/>
            <wp:docPr id="8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61"/>
                    <pic:cNvPicPr>
                      <a:picLocks noChangeAspect="1"/>
                    </pic:cNvPicPr>
                  </pic:nvPicPr>
                  <pic:blipFill>
                    <a:blip r:embed="rId166"/>
                    <a:stretch>
                      <a:fillRect/>
                    </a:stretch>
                  </pic:blipFill>
                  <pic:spPr>
                    <a:xfrm>
                      <a:off x="0" y="0"/>
                      <a:ext cx="6804025" cy="9050020"/>
                    </a:xfrm>
                    <a:prstGeom prst="rect">
                      <a:avLst/>
                    </a:prstGeom>
                    <a:noFill/>
                    <a:ln>
                      <a:noFill/>
                    </a:ln>
                  </pic:spPr>
                </pic:pic>
              </a:graphicData>
            </a:graphic>
          </wp:anchor>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2"/>
          <w:u w:val="none"/>
        </w:rPr>
        <mc:AlternateContent>
          <mc:Choice Requires="wps">
            <w:drawing>
              <wp:anchor distT="0" distB="0" distL="114300" distR="114300" simplePos="0" relativeHeight="251745280" behindDoc="0" locked="0" layoutInCell="1" allowOverlap="1">
                <wp:simplePos x="0" y="0"/>
                <wp:positionH relativeFrom="column">
                  <wp:posOffset>-939800</wp:posOffset>
                </wp:positionH>
                <wp:positionV relativeFrom="paragraph">
                  <wp:posOffset>-509270</wp:posOffset>
                </wp:positionV>
                <wp:extent cx="2746375" cy="29400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274637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附件十三</w:t>
                            </w:r>
                            <w:r>
                              <w:rPr>
                                <w:rFonts w:hint="eastAsia"/>
                                <w:b/>
                                <w:bCs/>
                                <w:sz w:val="22"/>
                                <w:szCs w:val="28"/>
                                <w:lang w:val="en-US" w:eastAsia="zh-CN"/>
                              </w:rPr>
                              <w:t xml:space="preserve">  危险废物转移联单</w:t>
                            </w:r>
                          </w:p>
                          <w:p>
                            <w:pPr>
                              <w:keepNext w:val="0"/>
                              <w:keepLines w:val="0"/>
                              <w:widowControl/>
                              <w:suppressLineNumbers w:val="0"/>
                              <w:jc w:val="left"/>
                            </w:pP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pt;margin-top:-40.1pt;height:23.15pt;width:216.25pt;z-index:251745280;mso-width-relative:page;mso-height-relative:page;" filled="f" stroked="f" coordsize="21600,21600" o:gfxdata="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SbCKR90AAAAMAQAADwAAAAAAAAABACAAAAAi&#10;AAAAZHJzL2Rvd25yZXYueG1sUEsBAhQAFAAAAAgAh07iQPCur18+AgAAaAQAAA4AAAAAAAAAAQAg&#10;AAAALAEAAGRycy9lMm9Eb2MueG1sUEsFBgAAAAAGAAYAWQEAANwFAAAAAA==&#10;">
                <v:fill on="f" focussize="0,0"/>
                <v:stroke on="f" weight="0.5pt"/>
                <v:imagedata o:title=""/>
                <o:lock v:ext="edit" aspectratio="f"/>
                <v:textbo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附件十三</w:t>
                      </w:r>
                      <w:r>
                        <w:rPr>
                          <w:rFonts w:hint="eastAsia"/>
                          <w:b/>
                          <w:bCs/>
                          <w:sz w:val="22"/>
                          <w:szCs w:val="28"/>
                          <w:lang w:val="en-US" w:eastAsia="zh-CN"/>
                        </w:rPr>
                        <w:t xml:space="preserve">  危险废物转移联单</w:t>
                      </w:r>
                    </w:p>
                    <w:p>
                      <w:pPr>
                        <w:keepNext w:val="0"/>
                        <w:keepLines w:val="0"/>
                        <w:widowControl/>
                        <w:suppressLineNumbers w:val="0"/>
                        <w:jc w:val="left"/>
                      </w:pPr>
                    </w:p>
                    <w:p/>
                  </w:txbxContent>
                </v:textbox>
              </v:shape>
            </w:pict>
          </mc:Fallback>
        </mc:AlternateContent>
      </w:r>
      <w:r>
        <w:rPr>
          <w:rFonts w:hint="eastAsia" w:ascii="Times New Roman" w:hAnsi="Times New Roman" w:eastAsia="仿宋" w:cs="Times New Roman"/>
          <w:spacing w:val="-1"/>
          <w:sz w:val="32"/>
          <w:szCs w:val="32"/>
          <w:lang w:val="en-US" w:eastAsia="zh-CN"/>
        </w:rPr>
        <w:drawing>
          <wp:inline distT="0" distB="0" distL="114300" distR="114300">
            <wp:extent cx="5274310" cy="7292975"/>
            <wp:effectExtent l="0" t="0" r="2540" b="3175"/>
            <wp:docPr id="34" name="图片 34" descr="c59ac861d742b7cd1a76b4e7d159ea3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59ac861d742b7cd1a76b4e7d159ea38_"/>
                    <pic:cNvPicPr>
                      <a:picLocks noChangeAspect="1"/>
                    </pic:cNvPicPr>
                  </pic:nvPicPr>
                  <pic:blipFill>
                    <a:blip r:embed="rId167"/>
                    <a:stretch>
                      <a:fillRect/>
                    </a:stretch>
                  </pic:blipFill>
                  <pic:spPr>
                    <a:xfrm>
                      <a:off x="0" y="0"/>
                      <a:ext cx="5274310" cy="7292975"/>
                    </a:xfrm>
                    <a:prstGeom prst="rect">
                      <a:avLst/>
                    </a:prstGeom>
                  </pic:spPr>
                </pic:pic>
              </a:graphicData>
            </a:graphic>
          </wp:inline>
        </w:drawing>
      </w:r>
      <w:r>
        <w:rPr>
          <w:rFonts w:hint="eastAsia" w:ascii="Times New Roman" w:hAnsi="Times New Roman" w:eastAsia="仿宋" w:cs="Times New Roman"/>
          <w:spacing w:val="-1"/>
          <w:sz w:val="32"/>
          <w:szCs w:val="32"/>
          <w:lang w:val="en-US" w:eastAsia="zh-CN"/>
        </w:rPr>
        <w:drawing>
          <wp:inline distT="0" distB="0" distL="114300" distR="114300">
            <wp:extent cx="5273040" cy="7030720"/>
            <wp:effectExtent l="0" t="0" r="3810" b="17780"/>
            <wp:docPr id="42" name="图片 42" descr="ca6784f858fcbd4f589578493e85a873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a6784f858fcbd4f589578493e85a873_"/>
                    <pic:cNvPicPr>
                      <a:picLocks noChangeAspect="1"/>
                    </pic:cNvPicPr>
                  </pic:nvPicPr>
                  <pic:blipFill>
                    <a:blip r:embed="rId168"/>
                    <a:stretch>
                      <a:fillRect/>
                    </a:stretch>
                  </pic:blipFill>
                  <pic:spPr>
                    <a:xfrm>
                      <a:off x="0" y="0"/>
                      <a:ext cx="5273040" cy="7030720"/>
                    </a:xfrm>
                    <a:prstGeom prst="rect">
                      <a:avLst/>
                    </a:prstGeom>
                  </pic:spPr>
                </pic:pic>
              </a:graphicData>
            </a:graphic>
          </wp:inline>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2"/>
          <w:u w:val="none"/>
        </w:rPr>
        <w:drawing>
          <wp:anchor distT="0" distB="0" distL="114300" distR="114300" simplePos="0" relativeHeight="251747328" behindDoc="0" locked="0" layoutInCell="1" allowOverlap="1">
            <wp:simplePos x="0" y="0"/>
            <wp:positionH relativeFrom="column">
              <wp:posOffset>-619125</wp:posOffset>
            </wp:positionH>
            <wp:positionV relativeFrom="paragraph">
              <wp:posOffset>-173355</wp:posOffset>
            </wp:positionV>
            <wp:extent cx="6459855" cy="8432800"/>
            <wp:effectExtent l="0" t="0" r="17145" b="6350"/>
            <wp:wrapNone/>
            <wp:docPr id="83" name="图片 83" descr="251dcb1ceb15f465dee6f34cc15d7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251dcb1ceb15f465dee6f34cc15d77a"/>
                    <pic:cNvPicPr>
                      <a:picLocks noChangeAspect="1"/>
                    </pic:cNvPicPr>
                  </pic:nvPicPr>
                  <pic:blipFill>
                    <a:blip r:embed="rId169"/>
                    <a:stretch>
                      <a:fillRect/>
                    </a:stretch>
                  </pic:blipFill>
                  <pic:spPr>
                    <a:xfrm>
                      <a:off x="0" y="0"/>
                      <a:ext cx="6459855" cy="8432800"/>
                    </a:xfrm>
                    <a:prstGeom prst="rect">
                      <a:avLst/>
                    </a:prstGeom>
                  </pic:spPr>
                </pic:pic>
              </a:graphicData>
            </a:graphic>
          </wp:anchor>
        </w:drawing>
      </w:r>
      <w:r>
        <w:rPr>
          <w:rFonts w:hint="default" w:ascii="Times New Roman" w:hAnsi="Times New Roman" w:cs="Times New Roman"/>
          <w:sz w:val="22"/>
          <w:u w:val="none"/>
        </w:rPr>
        <mc:AlternateContent>
          <mc:Choice Requires="wps">
            <w:drawing>
              <wp:anchor distT="0" distB="0" distL="114300" distR="114300" simplePos="0" relativeHeight="251746304" behindDoc="0" locked="0" layoutInCell="1" allowOverlap="1">
                <wp:simplePos x="0" y="0"/>
                <wp:positionH relativeFrom="column">
                  <wp:posOffset>-716280</wp:posOffset>
                </wp:positionH>
                <wp:positionV relativeFrom="paragraph">
                  <wp:posOffset>-539750</wp:posOffset>
                </wp:positionV>
                <wp:extent cx="2746375" cy="294005"/>
                <wp:effectExtent l="0" t="0" r="0" b="0"/>
                <wp:wrapNone/>
                <wp:docPr id="165" name="文本框 165"/>
                <wp:cNvGraphicFramePr/>
                <a:graphic xmlns:a="http://schemas.openxmlformats.org/drawingml/2006/main">
                  <a:graphicData uri="http://schemas.microsoft.com/office/word/2010/wordprocessingShape">
                    <wps:wsp>
                      <wps:cNvSpPr txBox="1"/>
                      <wps:spPr>
                        <a:xfrm>
                          <a:off x="0" y="0"/>
                          <a:ext cx="274637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附件十四</w:t>
                            </w:r>
                            <w:r>
                              <w:rPr>
                                <w:rFonts w:hint="eastAsia"/>
                                <w:b/>
                                <w:bCs/>
                                <w:sz w:val="22"/>
                                <w:szCs w:val="28"/>
                                <w:lang w:val="en-US" w:eastAsia="zh-CN"/>
                              </w:rPr>
                              <w:t xml:space="preserve">  突发环境事件应急预案备案表</w:t>
                            </w:r>
                          </w:p>
                          <w:p>
                            <w:pPr>
                              <w:keepNext w:val="0"/>
                              <w:keepLines w:val="0"/>
                              <w:widowControl/>
                              <w:suppressLineNumbers w:val="0"/>
                              <w:jc w:val="left"/>
                            </w:pP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4pt;margin-top:-42.5pt;height:23.15pt;width:216.25pt;z-index:251746304;mso-width-relative:page;mso-height-relative:page;" filled="f" stroked="f" coordsize="21600,21600" o:gfxdata="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JKA9LdAAAADAEAAA8AAAAAAAAAAQAgAAAA&#10;IgAAAGRycy9kb3ducmV2LnhtbFBLAQIUABQAAAAIAIdO4kAOcWnePwIAAGoEAAAOAAAAAAAAAAEA&#10;IAAAACwBAABkcnMvZTJvRG9jLnhtbFBLBQYAAAAABgAGAFkBAADdBQAAAAA=&#10;">
                <v:fill on="f" focussize="0,0"/>
                <v:stroke on="f" weight="0.5pt"/>
                <v:imagedata o:title=""/>
                <o:lock v:ext="edit" aspectratio="f"/>
                <v:textbo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附件十四</w:t>
                      </w:r>
                      <w:r>
                        <w:rPr>
                          <w:rFonts w:hint="eastAsia"/>
                          <w:b/>
                          <w:bCs/>
                          <w:sz w:val="22"/>
                          <w:szCs w:val="28"/>
                          <w:lang w:val="en-US" w:eastAsia="zh-CN"/>
                        </w:rPr>
                        <w:t xml:space="preserve">  突发环境事件应急预案备案表</w:t>
                      </w:r>
                    </w:p>
                    <w:p>
                      <w:pPr>
                        <w:keepNext w:val="0"/>
                        <w:keepLines w:val="0"/>
                        <w:widowControl/>
                        <w:suppressLineNumbers w:val="0"/>
                        <w:jc w:val="left"/>
                      </w:pPr>
                    </w:p>
                    <w:p/>
                  </w:txbxContent>
                </v:textbox>
              </v:shape>
            </w:pict>
          </mc:Fallback>
        </mc:AlternateContent>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lang w:val="en-US" w:eastAsia="zh-CN"/>
        </w:rPr>
        <w:drawing>
          <wp:inline distT="0" distB="0" distL="114300" distR="114300">
            <wp:extent cx="5270500" cy="8400415"/>
            <wp:effectExtent l="0" t="0" r="6350" b="635"/>
            <wp:docPr id="84" name="图片 84" descr="c84d54cac9326e847fbf251fa74f2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c84d54cac9326e847fbf251fa74f2d5"/>
                    <pic:cNvPicPr>
                      <a:picLocks noChangeAspect="1"/>
                    </pic:cNvPicPr>
                  </pic:nvPicPr>
                  <pic:blipFill>
                    <a:blip r:embed="rId170"/>
                    <a:stretch>
                      <a:fillRect/>
                    </a:stretch>
                  </pic:blipFill>
                  <pic:spPr>
                    <a:xfrm>
                      <a:off x="0" y="0"/>
                      <a:ext cx="5270500" cy="8400415"/>
                    </a:xfrm>
                    <a:prstGeom prst="rect">
                      <a:avLst/>
                    </a:prstGeom>
                  </pic:spPr>
                </pic:pic>
              </a:graphicData>
            </a:graphic>
          </wp:inline>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lang w:val="en-US" w:eastAsia="zh-CN"/>
        </w:rPr>
        <w:drawing>
          <wp:inline distT="0" distB="0" distL="114300" distR="114300">
            <wp:extent cx="5120640" cy="7499350"/>
            <wp:effectExtent l="0" t="0" r="3810" b="6350"/>
            <wp:docPr id="65" name="图片 65" descr="64b5bc06634ac4b6d6065920f6f13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64b5bc06634ac4b6d6065920f6f13b0"/>
                    <pic:cNvPicPr>
                      <a:picLocks noChangeAspect="1"/>
                    </pic:cNvPicPr>
                  </pic:nvPicPr>
                  <pic:blipFill>
                    <a:blip r:embed="rId171"/>
                    <a:srcRect l="2620"/>
                    <a:stretch>
                      <a:fillRect/>
                    </a:stretch>
                  </pic:blipFill>
                  <pic:spPr>
                    <a:xfrm>
                      <a:off x="0" y="0"/>
                      <a:ext cx="5120640" cy="7499350"/>
                    </a:xfrm>
                    <a:prstGeom prst="rect">
                      <a:avLst/>
                    </a:prstGeom>
                  </pic:spPr>
                </pic:pic>
              </a:graphicData>
            </a:graphic>
          </wp:inline>
        </w:drawing>
      </w:r>
      <w:r>
        <w:rPr>
          <w:rFonts w:hint="default" w:ascii="Times New Roman" w:hAnsi="Times New Roman" w:cs="Times New Roman"/>
          <w:sz w:val="22"/>
        </w:rPr>
        <mc:AlternateContent>
          <mc:Choice Requires="wps">
            <w:drawing>
              <wp:anchor distT="0" distB="0" distL="114300" distR="114300" simplePos="0" relativeHeight="251673600" behindDoc="0" locked="0" layoutInCell="1" allowOverlap="1">
                <wp:simplePos x="0" y="0"/>
                <wp:positionH relativeFrom="column">
                  <wp:posOffset>-450850</wp:posOffset>
                </wp:positionH>
                <wp:positionV relativeFrom="paragraph">
                  <wp:posOffset>-565785</wp:posOffset>
                </wp:positionV>
                <wp:extent cx="2327910" cy="294005"/>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2327910"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附件十五</w:t>
                            </w:r>
                            <w:r>
                              <w:rPr>
                                <w:rFonts w:hint="eastAsia"/>
                                <w:b/>
                                <w:bCs/>
                                <w:sz w:val="22"/>
                                <w:szCs w:val="28"/>
                                <w:lang w:val="en-US" w:eastAsia="zh-CN"/>
                              </w:rPr>
                              <w:t xml:space="preserve">  清洁生产方案征询表</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83.3pt;z-index:251673600;mso-width-relative:page;mso-height-relative:page;" filled="f" stroked="f" coordsize="21600,21600" o:gfxdata="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QKjtZtwAAAALAQAADwAAAAAAAAABACAAAAAiAAAA&#10;ZHJzL2Rvd25yZXYueG1sUEsBAhQAFAAAAAgAh07iQOvsShg8AgAAaAQAAA4AAAAAAAAAAQAgAAAA&#10;Kw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附件十五</w:t>
                      </w:r>
                      <w:r>
                        <w:rPr>
                          <w:rFonts w:hint="eastAsia"/>
                          <w:b/>
                          <w:bCs/>
                          <w:sz w:val="22"/>
                          <w:szCs w:val="28"/>
                          <w:lang w:val="en-US" w:eastAsia="zh-CN"/>
                        </w:rPr>
                        <w:t xml:space="preserve">  清洁生产方案征询表</w:t>
                      </w:r>
                    </w:p>
                    <w:p/>
                  </w:txbxContent>
                </v:textbox>
              </v:shape>
            </w:pict>
          </mc:Fallback>
        </mc:AlternateContent>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lang w:val="en-US" w:eastAsia="zh-CN"/>
        </w:rPr>
        <w:drawing>
          <wp:inline distT="0" distB="0" distL="114300" distR="114300">
            <wp:extent cx="5269230" cy="7355205"/>
            <wp:effectExtent l="0" t="0" r="7620" b="17145"/>
            <wp:docPr id="66" name="图片 66" descr="f415dcf1d1459edd0cff46fd970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f415dcf1d1459edd0cff46fd9702194"/>
                    <pic:cNvPicPr>
                      <a:picLocks noChangeAspect="1"/>
                    </pic:cNvPicPr>
                  </pic:nvPicPr>
                  <pic:blipFill>
                    <a:blip r:embed="rId172"/>
                    <a:stretch>
                      <a:fillRect/>
                    </a:stretch>
                  </pic:blipFill>
                  <pic:spPr>
                    <a:xfrm>
                      <a:off x="0" y="0"/>
                      <a:ext cx="5269230" cy="7355205"/>
                    </a:xfrm>
                    <a:prstGeom prst="rect">
                      <a:avLst/>
                    </a:prstGeom>
                  </pic:spPr>
                </pic:pic>
              </a:graphicData>
            </a:graphic>
          </wp:inline>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lang w:val="en-US" w:eastAsia="zh-CN"/>
        </w:rPr>
        <w:drawing>
          <wp:inline distT="0" distB="0" distL="114300" distR="114300">
            <wp:extent cx="5266690" cy="7115810"/>
            <wp:effectExtent l="0" t="0" r="10160" b="8890"/>
            <wp:docPr id="67" name="图片 67" descr="c7ab182272a1b7036c19a2bf15c67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c7ab182272a1b7036c19a2bf15c670f"/>
                    <pic:cNvPicPr>
                      <a:picLocks noChangeAspect="1"/>
                    </pic:cNvPicPr>
                  </pic:nvPicPr>
                  <pic:blipFill>
                    <a:blip r:embed="rId173"/>
                    <a:stretch>
                      <a:fillRect/>
                    </a:stretch>
                  </pic:blipFill>
                  <pic:spPr>
                    <a:xfrm>
                      <a:off x="0" y="0"/>
                      <a:ext cx="5266690" cy="7115810"/>
                    </a:xfrm>
                    <a:prstGeom prst="rect">
                      <a:avLst/>
                    </a:prstGeom>
                  </pic:spPr>
                </pic:pic>
              </a:graphicData>
            </a:graphic>
          </wp:inline>
        </w:drawing>
      </w:r>
    </w:p>
    <w:p>
      <w:pPr>
        <w:pStyle w:val="2"/>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lang w:val="en-US" w:eastAsia="zh-CN"/>
        </w:rPr>
        <w:drawing>
          <wp:inline distT="0" distB="0" distL="114300" distR="114300">
            <wp:extent cx="5259070" cy="7053580"/>
            <wp:effectExtent l="0" t="0" r="17780" b="13970"/>
            <wp:docPr id="68" name="图片 68" descr="536d3e2c9940fa0ce15c9e9b0edf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536d3e2c9940fa0ce15c9e9b0edf793"/>
                    <pic:cNvPicPr>
                      <a:picLocks noChangeAspect="1"/>
                    </pic:cNvPicPr>
                  </pic:nvPicPr>
                  <pic:blipFill>
                    <a:blip r:embed="rId174"/>
                    <a:stretch>
                      <a:fillRect/>
                    </a:stretch>
                  </pic:blipFill>
                  <pic:spPr>
                    <a:xfrm>
                      <a:off x="0" y="0"/>
                      <a:ext cx="5259070" cy="7053580"/>
                    </a:xfrm>
                    <a:prstGeom prst="rect">
                      <a:avLst/>
                    </a:prstGeom>
                  </pic:spPr>
                </pic:pic>
              </a:graphicData>
            </a:graphic>
          </wp:inline>
        </w:drawing>
      </w:r>
    </w:p>
    <w:p>
      <w:pPr>
        <w:pStyle w:val="2"/>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5261610" cy="7281545"/>
            <wp:effectExtent l="0" t="0" r="15240" b="14605"/>
            <wp:docPr id="69" name="图片 69" descr="de9cba966f40e69948b928be1272b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e9cba966f40e69948b928be1272bd9"/>
                    <pic:cNvPicPr>
                      <a:picLocks noChangeAspect="1"/>
                    </pic:cNvPicPr>
                  </pic:nvPicPr>
                  <pic:blipFill>
                    <a:blip r:embed="rId175"/>
                    <a:stretch>
                      <a:fillRect/>
                    </a:stretch>
                  </pic:blipFill>
                  <pic:spPr>
                    <a:xfrm>
                      <a:off x="0" y="0"/>
                      <a:ext cx="5261610" cy="7281545"/>
                    </a:xfrm>
                    <a:prstGeom prst="rect">
                      <a:avLst/>
                    </a:prstGeom>
                  </pic:spPr>
                </pic:pic>
              </a:graphicData>
            </a:graphic>
          </wp:inline>
        </w:drawing>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0000012" w:usb3="00000000" w:csb0="4002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hLPQ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bhLPQzAgAAYwQAAA4AAAAAAAAAAQAgAAAAHwEAAGRycy9lMm9Eb2MueG1sUEsF&#10;BgAAAAAGAAYAWQEAAMQFA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C4E32"/>
    <w:multiLevelType w:val="singleLevel"/>
    <w:tmpl w:val="BC5C4E32"/>
    <w:lvl w:ilvl="0" w:tentative="0">
      <w:start w:val="1"/>
      <w:numFmt w:val="decimal"/>
      <w:suff w:val="nothing"/>
      <w:lvlText w:val="（%1）"/>
      <w:lvlJc w:val="left"/>
    </w:lvl>
  </w:abstractNum>
  <w:abstractNum w:abstractNumId="1">
    <w:nsid w:val="D7365584"/>
    <w:multiLevelType w:val="singleLevel"/>
    <w:tmpl w:val="D7365584"/>
    <w:lvl w:ilvl="0" w:tentative="0">
      <w:start w:val="8"/>
      <w:numFmt w:val="chineseCounting"/>
      <w:suff w:val="space"/>
      <w:lvlText w:val="第%1章"/>
      <w:lvlJc w:val="left"/>
      <w:rPr>
        <w:rFonts w:hint="eastAsia"/>
      </w:rPr>
    </w:lvl>
  </w:abstractNum>
  <w:abstractNum w:abstractNumId="2">
    <w:nsid w:val="7FE28640"/>
    <w:multiLevelType w:val="singleLevel"/>
    <w:tmpl w:val="7FE28640"/>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0ODJiNmYxYzJiZTI2MGQzMTUzZjE2MzFhYzQ4MzUifQ=="/>
  </w:docVars>
  <w:rsids>
    <w:rsidRoot w:val="00000000"/>
    <w:rsid w:val="00085D00"/>
    <w:rsid w:val="00844BB6"/>
    <w:rsid w:val="03093FFD"/>
    <w:rsid w:val="038A4235"/>
    <w:rsid w:val="03CA4098"/>
    <w:rsid w:val="03DE028B"/>
    <w:rsid w:val="059B114F"/>
    <w:rsid w:val="08360BF5"/>
    <w:rsid w:val="09F80AC0"/>
    <w:rsid w:val="0A684153"/>
    <w:rsid w:val="0C490D94"/>
    <w:rsid w:val="111E1B2D"/>
    <w:rsid w:val="11AD4193"/>
    <w:rsid w:val="12E04EFA"/>
    <w:rsid w:val="14CC3A7D"/>
    <w:rsid w:val="15B36F53"/>
    <w:rsid w:val="189B119B"/>
    <w:rsid w:val="1914687F"/>
    <w:rsid w:val="1A005CAA"/>
    <w:rsid w:val="1AA77F44"/>
    <w:rsid w:val="1AB83BDB"/>
    <w:rsid w:val="1C7A4C98"/>
    <w:rsid w:val="1CCA67F2"/>
    <w:rsid w:val="1E5710DD"/>
    <w:rsid w:val="1E6A347E"/>
    <w:rsid w:val="2029463D"/>
    <w:rsid w:val="20F33DB7"/>
    <w:rsid w:val="21303763"/>
    <w:rsid w:val="236226E5"/>
    <w:rsid w:val="23B87FEC"/>
    <w:rsid w:val="242158EA"/>
    <w:rsid w:val="25E015D8"/>
    <w:rsid w:val="2611522C"/>
    <w:rsid w:val="26D963D0"/>
    <w:rsid w:val="281B42EC"/>
    <w:rsid w:val="285A2CA4"/>
    <w:rsid w:val="28721126"/>
    <w:rsid w:val="2A9C082A"/>
    <w:rsid w:val="2C411D71"/>
    <w:rsid w:val="2C58170B"/>
    <w:rsid w:val="2E3C5E8B"/>
    <w:rsid w:val="2F216450"/>
    <w:rsid w:val="2F63167C"/>
    <w:rsid w:val="2FA11B44"/>
    <w:rsid w:val="301B607F"/>
    <w:rsid w:val="320B7BF4"/>
    <w:rsid w:val="32E7087F"/>
    <w:rsid w:val="356F23BC"/>
    <w:rsid w:val="375F3622"/>
    <w:rsid w:val="37B1046A"/>
    <w:rsid w:val="38813038"/>
    <w:rsid w:val="3BC85E4C"/>
    <w:rsid w:val="3C094E39"/>
    <w:rsid w:val="3DE27EA6"/>
    <w:rsid w:val="3E4837ED"/>
    <w:rsid w:val="3F751644"/>
    <w:rsid w:val="3FC600D3"/>
    <w:rsid w:val="40CE7A49"/>
    <w:rsid w:val="42586068"/>
    <w:rsid w:val="429C3638"/>
    <w:rsid w:val="44261D16"/>
    <w:rsid w:val="475E2357"/>
    <w:rsid w:val="48760025"/>
    <w:rsid w:val="4A36027A"/>
    <w:rsid w:val="4BEE0035"/>
    <w:rsid w:val="4C6A1AFE"/>
    <w:rsid w:val="4D090A38"/>
    <w:rsid w:val="4D751415"/>
    <w:rsid w:val="4ED62936"/>
    <w:rsid w:val="51601683"/>
    <w:rsid w:val="52004FE0"/>
    <w:rsid w:val="53E52E2C"/>
    <w:rsid w:val="54223EE5"/>
    <w:rsid w:val="56F41D36"/>
    <w:rsid w:val="59662B2C"/>
    <w:rsid w:val="599647C0"/>
    <w:rsid w:val="5BCA0902"/>
    <w:rsid w:val="5DCC7872"/>
    <w:rsid w:val="621D1D46"/>
    <w:rsid w:val="630E6208"/>
    <w:rsid w:val="63E369CA"/>
    <w:rsid w:val="65030B97"/>
    <w:rsid w:val="667F14B8"/>
    <w:rsid w:val="6A6463E7"/>
    <w:rsid w:val="6B100DC5"/>
    <w:rsid w:val="6C5C1E97"/>
    <w:rsid w:val="6CF50EE3"/>
    <w:rsid w:val="6D233F48"/>
    <w:rsid w:val="6EB61C3E"/>
    <w:rsid w:val="717423A1"/>
    <w:rsid w:val="749D2978"/>
    <w:rsid w:val="74C50A2F"/>
    <w:rsid w:val="75352BD4"/>
    <w:rsid w:val="76B869CB"/>
    <w:rsid w:val="783605DE"/>
    <w:rsid w:val="797514CD"/>
    <w:rsid w:val="7A225E41"/>
    <w:rsid w:val="7DFD3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27"/>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7"/>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8">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9">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10">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line="312" w:lineRule="auto"/>
    </w:pPr>
    <w:rPr>
      <w:rFonts w:ascii="宋体"/>
      <w:sz w:val="28"/>
      <w:szCs w:val="20"/>
    </w:rPr>
  </w:style>
  <w:style w:type="paragraph" w:styleId="7">
    <w:name w:val="Normal Indent"/>
    <w:basedOn w:val="1"/>
    <w:next w:val="1"/>
    <w:qFormat/>
    <w:uiPriority w:val="0"/>
    <w:pPr>
      <w:ind w:firstLine="420" w:firstLineChars="200"/>
    </w:pPr>
    <w:rPr>
      <w:szCs w:val="20"/>
    </w:rPr>
  </w:style>
  <w:style w:type="paragraph" w:styleId="11">
    <w:name w:val="annotation text"/>
    <w:basedOn w:val="1"/>
    <w:qFormat/>
    <w:uiPriority w:val="0"/>
    <w:pPr>
      <w:jc w:val="left"/>
    </w:pPr>
  </w:style>
  <w:style w:type="paragraph" w:styleId="12">
    <w:name w:val="Body Text Indent"/>
    <w:basedOn w:val="1"/>
    <w:qFormat/>
    <w:uiPriority w:val="0"/>
    <w:pPr>
      <w:spacing w:after="120"/>
      <w:ind w:left="420" w:leftChars="200"/>
    </w:pPr>
  </w:style>
  <w:style w:type="paragraph" w:styleId="13">
    <w:name w:val="Block Text"/>
    <w:basedOn w:val="1"/>
    <w:next w:val="1"/>
    <w:qFormat/>
    <w:uiPriority w:val="0"/>
    <w:pPr>
      <w:snapToGrid w:val="0"/>
      <w:spacing w:line="408" w:lineRule="auto"/>
      <w:ind w:left="-113" w:right="-510" w:firstLine="510"/>
    </w:pPr>
    <w:rPr>
      <w:sz w:val="24"/>
      <w:szCs w:val="20"/>
    </w:rPr>
  </w:style>
  <w:style w:type="paragraph" w:styleId="14">
    <w:name w:val="toc 3"/>
    <w:basedOn w:val="1"/>
    <w:next w:val="1"/>
    <w:qFormat/>
    <w:uiPriority w:val="0"/>
    <w:pPr>
      <w:ind w:left="840" w:leftChars="400"/>
    </w:p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0"/>
  </w:style>
  <w:style w:type="paragraph" w:styleId="18">
    <w:name w:val="toc 2"/>
    <w:basedOn w:val="1"/>
    <w:next w:val="1"/>
    <w:qFormat/>
    <w:uiPriority w:val="0"/>
    <w:pPr>
      <w:ind w:left="420" w:leftChars="200"/>
    </w:pPr>
  </w:style>
  <w:style w:type="paragraph" w:styleId="1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0">
    <w:name w:val="Body Text First Indent 2"/>
    <w:basedOn w:val="12"/>
    <w:next w:val="1"/>
    <w:qFormat/>
    <w:uiPriority w:val="0"/>
    <w:pPr>
      <w:ind w:firstLine="42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qFormat/>
    <w:uiPriority w:val="0"/>
    <w:rPr>
      <w:color w:val="0000FF"/>
      <w:u w:val="single"/>
    </w:rPr>
  </w:style>
  <w:style w:type="paragraph" w:customStyle="1" w:styleId="25">
    <w:name w:val="WPSOffice手动目录 1"/>
    <w:qFormat/>
    <w:uiPriority w:val="0"/>
    <w:pPr>
      <w:ind w:leftChars="0"/>
    </w:pPr>
    <w:rPr>
      <w:rFonts w:ascii="Times New Roman" w:hAnsi="Times New Roman" w:eastAsia="宋体" w:cs="Times New Roman"/>
      <w:sz w:val="20"/>
      <w:szCs w:val="20"/>
    </w:rPr>
  </w:style>
  <w:style w:type="paragraph" w:customStyle="1" w:styleId="26">
    <w:name w:val="表格内容"/>
    <w:basedOn w:val="1"/>
    <w:next w:val="1"/>
    <w:qFormat/>
    <w:uiPriority w:val="0"/>
    <w:pPr>
      <w:keepNext w:val="0"/>
      <w:keepLines w:val="0"/>
      <w:widowControl w:val="0"/>
      <w:suppressLineNumbers w:val="0"/>
      <w:spacing w:before="0" w:beforeAutospacing="0" w:after="0" w:afterAutospacing="0"/>
      <w:ind w:left="0" w:right="0"/>
      <w:jc w:val="center"/>
    </w:pPr>
    <w:rPr>
      <w:rFonts w:hint="default" w:ascii="Calibri" w:hAnsi="Calibri" w:eastAsia="宋体" w:cs="Times New Roman"/>
      <w:kern w:val="2"/>
      <w:sz w:val="21"/>
      <w:szCs w:val="22"/>
      <w:lang w:val="en-US" w:eastAsia="zh-CN" w:bidi="ar"/>
    </w:rPr>
  </w:style>
  <w:style w:type="character" w:customStyle="1" w:styleId="27">
    <w:name w:val="标题 3 Char"/>
    <w:link w:val="5"/>
    <w:qFormat/>
    <w:uiPriority w:val="0"/>
    <w:rPr>
      <w:b/>
      <w:sz w:val="32"/>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51.bin"/><Relationship Id="rId98" Type="http://schemas.openxmlformats.org/officeDocument/2006/relationships/oleObject" Target="embeddings/oleObject50.bin"/><Relationship Id="rId97" Type="http://schemas.openxmlformats.org/officeDocument/2006/relationships/oleObject" Target="embeddings/oleObject49.bin"/><Relationship Id="rId96" Type="http://schemas.openxmlformats.org/officeDocument/2006/relationships/oleObject" Target="embeddings/oleObject48.bin"/><Relationship Id="rId95" Type="http://schemas.openxmlformats.org/officeDocument/2006/relationships/oleObject" Target="embeddings/oleObject47.bin"/><Relationship Id="rId94" Type="http://schemas.openxmlformats.org/officeDocument/2006/relationships/oleObject" Target="embeddings/oleObject46.bin"/><Relationship Id="rId93" Type="http://schemas.openxmlformats.org/officeDocument/2006/relationships/oleObject" Target="embeddings/oleObject45.bin"/><Relationship Id="rId92" Type="http://schemas.openxmlformats.org/officeDocument/2006/relationships/oleObject" Target="embeddings/oleObject44.bin"/><Relationship Id="rId91" Type="http://schemas.openxmlformats.org/officeDocument/2006/relationships/oleObject" Target="embeddings/oleObject43.bin"/><Relationship Id="rId90" Type="http://schemas.openxmlformats.org/officeDocument/2006/relationships/oleObject" Target="embeddings/oleObject42.bin"/><Relationship Id="rId9" Type="http://schemas.openxmlformats.org/officeDocument/2006/relationships/image" Target="media/image4.jpeg"/><Relationship Id="rId89" Type="http://schemas.openxmlformats.org/officeDocument/2006/relationships/oleObject" Target="embeddings/oleObject41.bin"/><Relationship Id="rId88" Type="http://schemas.openxmlformats.org/officeDocument/2006/relationships/oleObject" Target="embeddings/oleObject40.bin"/><Relationship Id="rId87" Type="http://schemas.openxmlformats.org/officeDocument/2006/relationships/oleObject" Target="embeddings/oleObject39.bin"/><Relationship Id="rId86" Type="http://schemas.openxmlformats.org/officeDocument/2006/relationships/image" Target="media/image43.emf"/><Relationship Id="rId85" Type="http://schemas.openxmlformats.org/officeDocument/2006/relationships/oleObject" Target="embeddings/oleObject38.bin"/><Relationship Id="rId84" Type="http://schemas.openxmlformats.org/officeDocument/2006/relationships/image" Target="media/image42.emf"/><Relationship Id="rId83" Type="http://schemas.openxmlformats.org/officeDocument/2006/relationships/oleObject" Target="embeddings/oleObject37.bin"/><Relationship Id="rId82" Type="http://schemas.openxmlformats.org/officeDocument/2006/relationships/image" Target="media/image41.wmf"/><Relationship Id="rId81" Type="http://schemas.openxmlformats.org/officeDocument/2006/relationships/oleObject" Target="embeddings/oleObject36.bin"/><Relationship Id="rId80" Type="http://schemas.openxmlformats.org/officeDocument/2006/relationships/image" Target="media/image40.wmf"/><Relationship Id="rId8" Type="http://schemas.openxmlformats.org/officeDocument/2006/relationships/image" Target="media/image3.jpeg"/><Relationship Id="rId79" Type="http://schemas.openxmlformats.org/officeDocument/2006/relationships/oleObject" Target="embeddings/oleObject35.bin"/><Relationship Id="rId78" Type="http://schemas.openxmlformats.org/officeDocument/2006/relationships/image" Target="media/image39.wmf"/><Relationship Id="rId77" Type="http://schemas.openxmlformats.org/officeDocument/2006/relationships/oleObject" Target="embeddings/oleObject34.bin"/><Relationship Id="rId76" Type="http://schemas.openxmlformats.org/officeDocument/2006/relationships/image" Target="media/image38.wmf"/><Relationship Id="rId75" Type="http://schemas.openxmlformats.org/officeDocument/2006/relationships/oleObject" Target="embeddings/oleObject33.bin"/><Relationship Id="rId74" Type="http://schemas.openxmlformats.org/officeDocument/2006/relationships/image" Target="media/image37.wmf"/><Relationship Id="rId73" Type="http://schemas.openxmlformats.org/officeDocument/2006/relationships/oleObject" Target="embeddings/oleObject32.bin"/><Relationship Id="rId72" Type="http://schemas.openxmlformats.org/officeDocument/2006/relationships/image" Target="media/image36.wmf"/><Relationship Id="rId71" Type="http://schemas.openxmlformats.org/officeDocument/2006/relationships/oleObject" Target="embeddings/oleObject31.bin"/><Relationship Id="rId70" Type="http://schemas.openxmlformats.org/officeDocument/2006/relationships/image" Target="media/image35.wmf"/><Relationship Id="rId7" Type="http://schemas.openxmlformats.org/officeDocument/2006/relationships/image" Target="media/image2.jpeg"/><Relationship Id="rId69" Type="http://schemas.openxmlformats.org/officeDocument/2006/relationships/oleObject" Target="embeddings/oleObject30.bin"/><Relationship Id="rId68" Type="http://schemas.openxmlformats.org/officeDocument/2006/relationships/image" Target="media/image34.wmf"/><Relationship Id="rId67" Type="http://schemas.openxmlformats.org/officeDocument/2006/relationships/oleObject" Target="embeddings/oleObject29.bin"/><Relationship Id="rId66" Type="http://schemas.openxmlformats.org/officeDocument/2006/relationships/image" Target="media/image33.wmf"/><Relationship Id="rId65" Type="http://schemas.openxmlformats.org/officeDocument/2006/relationships/oleObject" Target="embeddings/oleObject28.bin"/><Relationship Id="rId64" Type="http://schemas.openxmlformats.org/officeDocument/2006/relationships/image" Target="media/image32.png"/><Relationship Id="rId63" Type="http://schemas.openxmlformats.org/officeDocument/2006/relationships/image" Target="media/image31.wmf"/><Relationship Id="rId62" Type="http://schemas.openxmlformats.org/officeDocument/2006/relationships/oleObject" Target="embeddings/oleObject27.bin"/><Relationship Id="rId61" Type="http://schemas.openxmlformats.org/officeDocument/2006/relationships/oleObject" Target="embeddings/oleObject26.bin"/><Relationship Id="rId60" Type="http://schemas.openxmlformats.org/officeDocument/2006/relationships/oleObject" Target="embeddings/oleObject25.bin"/><Relationship Id="rId6" Type="http://schemas.openxmlformats.org/officeDocument/2006/relationships/image" Target="media/image1.jpeg"/><Relationship Id="rId59" Type="http://schemas.openxmlformats.org/officeDocument/2006/relationships/oleObject" Target="embeddings/oleObject24.bin"/><Relationship Id="rId58" Type="http://schemas.openxmlformats.org/officeDocument/2006/relationships/oleObject" Target="embeddings/oleObject23.bin"/><Relationship Id="rId57" Type="http://schemas.openxmlformats.org/officeDocument/2006/relationships/image" Target="media/image30.wmf"/><Relationship Id="rId56" Type="http://schemas.openxmlformats.org/officeDocument/2006/relationships/oleObject" Target="embeddings/oleObject22.bin"/><Relationship Id="rId55" Type="http://schemas.openxmlformats.org/officeDocument/2006/relationships/image" Target="media/image29.wmf"/><Relationship Id="rId54" Type="http://schemas.openxmlformats.org/officeDocument/2006/relationships/oleObject" Target="embeddings/oleObject21.bin"/><Relationship Id="rId53" Type="http://schemas.openxmlformats.org/officeDocument/2006/relationships/image" Target="media/image28.wmf"/><Relationship Id="rId52" Type="http://schemas.openxmlformats.org/officeDocument/2006/relationships/oleObject" Target="embeddings/oleObject20.bin"/><Relationship Id="rId51" Type="http://schemas.openxmlformats.org/officeDocument/2006/relationships/image" Target="media/image27.wmf"/><Relationship Id="rId50" Type="http://schemas.openxmlformats.org/officeDocument/2006/relationships/oleObject" Target="embeddings/oleObject19.bin"/><Relationship Id="rId5" Type="http://schemas.openxmlformats.org/officeDocument/2006/relationships/theme" Target="theme/theme1.xml"/><Relationship Id="rId49" Type="http://schemas.openxmlformats.org/officeDocument/2006/relationships/image" Target="media/image26.wmf"/><Relationship Id="rId48" Type="http://schemas.openxmlformats.org/officeDocument/2006/relationships/oleObject" Target="embeddings/oleObject18.bin"/><Relationship Id="rId47" Type="http://schemas.openxmlformats.org/officeDocument/2006/relationships/image" Target="media/image25.wmf"/><Relationship Id="rId46" Type="http://schemas.openxmlformats.org/officeDocument/2006/relationships/oleObject" Target="embeddings/oleObject17.bin"/><Relationship Id="rId45" Type="http://schemas.openxmlformats.org/officeDocument/2006/relationships/image" Target="media/image24.wmf"/><Relationship Id="rId44" Type="http://schemas.openxmlformats.org/officeDocument/2006/relationships/oleObject" Target="embeddings/oleObject16.bin"/><Relationship Id="rId43" Type="http://schemas.openxmlformats.org/officeDocument/2006/relationships/image" Target="media/image23.png"/><Relationship Id="rId42" Type="http://schemas.openxmlformats.org/officeDocument/2006/relationships/image" Target="media/image22.emf"/><Relationship Id="rId41" Type="http://schemas.openxmlformats.org/officeDocument/2006/relationships/oleObject" Target="embeddings/oleObject15.bin"/><Relationship Id="rId40" Type="http://schemas.openxmlformats.org/officeDocument/2006/relationships/image" Target="media/image21.emf"/><Relationship Id="rId4" Type="http://schemas.openxmlformats.org/officeDocument/2006/relationships/footer" Target="footer2.xml"/><Relationship Id="rId39" Type="http://schemas.openxmlformats.org/officeDocument/2006/relationships/oleObject" Target="embeddings/oleObject14.bin"/><Relationship Id="rId38" Type="http://schemas.openxmlformats.org/officeDocument/2006/relationships/image" Target="media/image20.emf"/><Relationship Id="rId37" Type="http://schemas.openxmlformats.org/officeDocument/2006/relationships/oleObject" Target="embeddings/oleObject13.bin"/><Relationship Id="rId36" Type="http://schemas.openxmlformats.org/officeDocument/2006/relationships/image" Target="media/image19.emf"/><Relationship Id="rId35" Type="http://schemas.openxmlformats.org/officeDocument/2006/relationships/oleObject" Target="embeddings/oleObject12.bin"/><Relationship Id="rId34" Type="http://schemas.openxmlformats.org/officeDocument/2006/relationships/image" Target="media/image18.emf"/><Relationship Id="rId33" Type="http://schemas.openxmlformats.org/officeDocument/2006/relationships/oleObject" Target="embeddings/oleObject11.bin"/><Relationship Id="rId32" Type="http://schemas.openxmlformats.org/officeDocument/2006/relationships/image" Target="media/image17.emf"/><Relationship Id="rId31" Type="http://schemas.openxmlformats.org/officeDocument/2006/relationships/oleObject" Target="embeddings/oleObject10.bin"/><Relationship Id="rId30" Type="http://schemas.openxmlformats.org/officeDocument/2006/relationships/image" Target="media/image16.emf"/><Relationship Id="rId3" Type="http://schemas.openxmlformats.org/officeDocument/2006/relationships/footer" Target="footer1.xml"/><Relationship Id="rId29" Type="http://schemas.openxmlformats.org/officeDocument/2006/relationships/oleObject" Target="embeddings/oleObject9.bin"/><Relationship Id="rId28" Type="http://schemas.openxmlformats.org/officeDocument/2006/relationships/image" Target="media/image15.emf"/><Relationship Id="rId27" Type="http://schemas.openxmlformats.org/officeDocument/2006/relationships/oleObject" Target="embeddings/oleObject8.bin"/><Relationship Id="rId26" Type="http://schemas.openxmlformats.org/officeDocument/2006/relationships/image" Target="media/image14.emf"/><Relationship Id="rId25" Type="http://schemas.openxmlformats.org/officeDocument/2006/relationships/oleObject" Target="embeddings/oleObject7.bin"/><Relationship Id="rId24" Type="http://schemas.openxmlformats.org/officeDocument/2006/relationships/image" Target="media/image13.emf"/><Relationship Id="rId23" Type="http://schemas.openxmlformats.org/officeDocument/2006/relationships/oleObject" Target="embeddings/oleObject6.bin"/><Relationship Id="rId22" Type="http://schemas.openxmlformats.org/officeDocument/2006/relationships/image" Target="media/image12.emf"/><Relationship Id="rId21" Type="http://schemas.openxmlformats.org/officeDocument/2006/relationships/oleObject" Target="embeddings/oleObject5.bin"/><Relationship Id="rId20" Type="http://schemas.openxmlformats.org/officeDocument/2006/relationships/image" Target="media/image11.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10.emf"/><Relationship Id="rId178" Type="http://schemas.openxmlformats.org/officeDocument/2006/relationships/fontTable" Target="fontTable.xml"/><Relationship Id="rId177" Type="http://schemas.openxmlformats.org/officeDocument/2006/relationships/numbering" Target="numbering.xml"/><Relationship Id="rId176" Type="http://schemas.openxmlformats.org/officeDocument/2006/relationships/customXml" Target="../customXml/item1.xml"/><Relationship Id="rId175" Type="http://schemas.openxmlformats.org/officeDocument/2006/relationships/image" Target="media/image111.jpeg"/><Relationship Id="rId174" Type="http://schemas.openxmlformats.org/officeDocument/2006/relationships/image" Target="media/image110.jpeg"/><Relationship Id="rId173" Type="http://schemas.openxmlformats.org/officeDocument/2006/relationships/image" Target="media/image109.jpeg"/><Relationship Id="rId172" Type="http://schemas.openxmlformats.org/officeDocument/2006/relationships/image" Target="media/image108.jpeg"/><Relationship Id="rId171" Type="http://schemas.openxmlformats.org/officeDocument/2006/relationships/image" Target="media/image107.jpeg"/><Relationship Id="rId170" Type="http://schemas.openxmlformats.org/officeDocument/2006/relationships/image" Target="media/image106.jpeg"/><Relationship Id="rId17" Type="http://schemas.openxmlformats.org/officeDocument/2006/relationships/oleObject" Target="embeddings/oleObject3.bin"/><Relationship Id="rId169" Type="http://schemas.openxmlformats.org/officeDocument/2006/relationships/image" Target="media/image105.jpeg"/><Relationship Id="rId168" Type="http://schemas.openxmlformats.org/officeDocument/2006/relationships/image" Target="media/image104.jpeg"/><Relationship Id="rId167" Type="http://schemas.openxmlformats.org/officeDocument/2006/relationships/image" Target="media/image103.jpeg"/><Relationship Id="rId166" Type="http://schemas.openxmlformats.org/officeDocument/2006/relationships/image" Target="media/image102.png"/><Relationship Id="rId165" Type="http://schemas.openxmlformats.org/officeDocument/2006/relationships/image" Target="media/image101.png"/><Relationship Id="rId164" Type="http://schemas.openxmlformats.org/officeDocument/2006/relationships/image" Target="media/image100.jpeg"/><Relationship Id="rId163" Type="http://schemas.openxmlformats.org/officeDocument/2006/relationships/image" Target="media/image99.jpeg"/><Relationship Id="rId162" Type="http://schemas.openxmlformats.org/officeDocument/2006/relationships/image" Target="media/image98.jpeg"/><Relationship Id="rId161" Type="http://schemas.openxmlformats.org/officeDocument/2006/relationships/image" Target="media/image97.png"/><Relationship Id="rId160" Type="http://schemas.openxmlformats.org/officeDocument/2006/relationships/image" Target="media/image96.png"/><Relationship Id="rId16" Type="http://schemas.openxmlformats.org/officeDocument/2006/relationships/image" Target="media/image9.emf"/><Relationship Id="rId159" Type="http://schemas.openxmlformats.org/officeDocument/2006/relationships/image" Target="media/image95.png"/><Relationship Id="rId158" Type="http://schemas.openxmlformats.org/officeDocument/2006/relationships/image" Target="media/image94.png"/><Relationship Id="rId157" Type="http://schemas.openxmlformats.org/officeDocument/2006/relationships/image" Target="media/image93.png"/><Relationship Id="rId156" Type="http://schemas.openxmlformats.org/officeDocument/2006/relationships/image" Target="media/image92.png"/><Relationship Id="rId155" Type="http://schemas.openxmlformats.org/officeDocument/2006/relationships/image" Target="media/image91.png"/><Relationship Id="rId154" Type="http://schemas.openxmlformats.org/officeDocument/2006/relationships/image" Target="media/image90.jpeg"/><Relationship Id="rId153" Type="http://schemas.openxmlformats.org/officeDocument/2006/relationships/image" Target="media/image89.png"/><Relationship Id="rId152" Type="http://schemas.openxmlformats.org/officeDocument/2006/relationships/image" Target="media/image88.jpeg"/><Relationship Id="rId151" Type="http://schemas.openxmlformats.org/officeDocument/2006/relationships/image" Target="media/image87.jpeg"/><Relationship Id="rId150" Type="http://schemas.openxmlformats.org/officeDocument/2006/relationships/image" Target="media/image86.jpeg"/><Relationship Id="rId15" Type="http://schemas.openxmlformats.org/officeDocument/2006/relationships/oleObject" Target="embeddings/oleObject2.bin"/><Relationship Id="rId149" Type="http://schemas.openxmlformats.org/officeDocument/2006/relationships/image" Target="media/image85.jpeg"/><Relationship Id="rId148" Type="http://schemas.openxmlformats.org/officeDocument/2006/relationships/image" Target="media/image84.jpeg"/><Relationship Id="rId147" Type="http://schemas.openxmlformats.org/officeDocument/2006/relationships/image" Target="media/image83.jpeg"/><Relationship Id="rId146" Type="http://schemas.openxmlformats.org/officeDocument/2006/relationships/image" Target="media/image82.jpeg"/><Relationship Id="rId145" Type="http://schemas.openxmlformats.org/officeDocument/2006/relationships/image" Target="media/image81.jpeg"/><Relationship Id="rId144" Type="http://schemas.openxmlformats.org/officeDocument/2006/relationships/image" Target="media/image80.jpeg"/><Relationship Id="rId143" Type="http://schemas.openxmlformats.org/officeDocument/2006/relationships/image" Target="media/image79.jpeg"/><Relationship Id="rId142" Type="http://schemas.openxmlformats.org/officeDocument/2006/relationships/image" Target="media/image78.jpeg"/><Relationship Id="rId141" Type="http://schemas.openxmlformats.org/officeDocument/2006/relationships/image" Target="media/image77.jpeg"/><Relationship Id="rId140" Type="http://schemas.openxmlformats.org/officeDocument/2006/relationships/image" Target="media/image76.png"/><Relationship Id="rId14" Type="http://schemas.openxmlformats.org/officeDocument/2006/relationships/image" Target="media/image8.emf"/><Relationship Id="rId139" Type="http://schemas.openxmlformats.org/officeDocument/2006/relationships/image" Target="media/image75.png"/><Relationship Id="rId138" Type="http://schemas.openxmlformats.org/officeDocument/2006/relationships/image" Target="media/image74.png"/><Relationship Id="rId137" Type="http://schemas.openxmlformats.org/officeDocument/2006/relationships/image" Target="media/image73.png"/><Relationship Id="rId136" Type="http://schemas.openxmlformats.org/officeDocument/2006/relationships/image" Target="media/image72.png"/><Relationship Id="rId135" Type="http://schemas.openxmlformats.org/officeDocument/2006/relationships/image" Target="media/image71.png"/><Relationship Id="rId134" Type="http://schemas.openxmlformats.org/officeDocument/2006/relationships/image" Target="media/image70.png"/><Relationship Id="rId133" Type="http://schemas.openxmlformats.org/officeDocument/2006/relationships/image" Target="media/image69.png"/><Relationship Id="rId132" Type="http://schemas.openxmlformats.org/officeDocument/2006/relationships/image" Target="media/image68.png"/><Relationship Id="rId131" Type="http://schemas.openxmlformats.org/officeDocument/2006/relationships/image" Target="media/image67.png"/><Relationship Id="rId130" Type="http://schemas.openxmlformats.org/officeDocument/2006/relationships/image" Target="media/image66.png"/><Relationship Id="rId13" Type="http://schemas.openxmlformats.org/officeDocument/2006/relationships/oleObject" Target="embeddings/oleObject1.bin"/><Relationship Id="rId129" Type="http://schemas.openxmlformats.org/officeDocument/2006/relationships/image" Target="media/image65.png"/><Relationship Id="rId128" Type="http://schemas.openxmlformats.org/officeDocument/2006/relationships/image" Target="media/image64.jpeg"/><Relationship Id="rId127" Type="http://schemas.openxmlformats.org/officeDocument/2006/relationships/image" Target="media/image63.jpeg"/><Relationship Id="rId126" Type="http://schemas.openxmlformats.org/officeDocument/2006/relationships/image" Target="media/image62.jpeg"/><Relationship Id="rId125" Type="http://schemas.openxmlformats.org/officeDocument/2006/relationships/image" Target="media/image61.png"/><Relationship Id="rId124" Type="http://schemas.openxmlformats.org/officeDocument/2006/relationships/image" Target="media/image60.png"/><Relationship Id="rId123" Type="http://schemas.openxmlformats.org/officeDocument/2006/relationships/image" Target="media/image59.png"/><Relationship Id="rId122" Type="http://schemas.openxmlformats.org/officeDocument/2006/relationships/image" Target="media/image58.png"/><Relationship Id="rId121" Type="http://schemas.openxmlformats.org/officeDocument/2006/relationships/image" Target="media/image57.jpeg"/><Relationship Id="rId120" Type="http://schemas.openxmlformats.org/officeDocument/2006/relationships/image" Target="media/image56.jpeg"/><Relationship Id="rId12" Type="http://schemas.openxmlformats.org/officeDocument/2006/relationships/image" Target="media/image7.jpeg"/><Relationship Id="rId119" Type="http://schemas.openxmlformats.org/officeDocument/2006/relationships/image" Target="media/image55.jpeg"/><Relationship Id="rId118" Type="http://schemas.openxmlformats.org/officeDocument/2006/relationships/image" Target="media/image54.jpeg"/><Relationship Id="rId117" Type="http://schemas.openxmlformats.org/officeDocument/2006/relationships/image" Target="media/image53.jpeg"/><Relationship Id="rId116" Type="http://schemas.openxmlformats.org/officeDocument/2006/relationships/image" Target="media/image52.jpeg"/><Relationship Id="rId115" Type="http://schemas.openxmlformats.org/officeDocument/2006/relationships/image" Target="media/image51.jpeg"/><Relationship Id="rId114" Type="http://schemas.openxmlformats.org/officeDocument/2006/relationships/image" Target="media/image50.jpeg"/><Relationship Id="rId113" Type="http://schemas.openxmlformats.org/officeDocument/2006/relationships/image" Target="media/image49.jpeg"/><Relationship Id="rId112" Type="http://schemas.openxmlformats.org/officeDocument/2006/relationships/image" Target="media/image48.jpeg"/><Relationship Id="rId111" Type="http://schemas.openxmlformats.org/officeDocument/2006/relationships/image" Target="media/image47.jpeg"/><Relationship Id="rId110" Type="http://schemas.openxmlformats.org/officeDocument/2006/relationships/image" Target="media/image46.jpeg"/><Relationship Id="rId11" Type="http://schemas.openxmlformats.org/officeDocument/2006/relationships/image" Target="media/image6.jpeg"/><Relationship Id="rId109" Type="http://schemas.openxmlformats.org/officeDocument/2006/relationships/image" Target="media/image45.emf"/><Relationship Id="rId108" Type="http://schemas.openxmlformats.org/officeDocument/2006/relationships/oleObject" Target="embeddings/oleObject59.bin"/><Relationship Id="rId107" Type="http://schemas.openxmlformats.org/officeDocument/2006/relationships/image" Target="media/image44.jpeg"/><Relationship Id="rId106" Type="http://schemas.openxmlformats.org/officeDocument/2006/relationships/oleObject" Target="embeddings/oleObject58.bin"/><Relationship Id="rId105" Type="http://schemas.openxmlformats.org/officeDocument/2006/relationships/oleObject" Target="embeddings/oleObject57.bin"/><Relationship Id="rId104" Type="http://schemas.openxmlformats.org/officeDocument/2006/relationships/oleObject" Target="embeddings/oleObject56.bin"/><Relationship Id="rId103" Type="http://schemas.openxmlformats.org/officeDocument/2006/relationships/oleObject" Target="embeddings/oleObject55.bin"/><Relationship Id="rId102" Type="http://schemas.openxmlformats.org/officeDocument/2006/relationships/oleObject" Target="embeddings/oleObject54.bin"/><Relationship Id="rId101" Type="http://schemas.openxmlformats.org/officeDocument/2006/relationships/oleObject" Target="embeddings/oleObject53.bin"/><Relationship Id="rId100" Type="http://schemas.openxmlformats.org/officeDocument/2006/relationships/oleObject" Target="embeddings/oleObject52.bin"/><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9"/>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175</Pages>
  <Words>58418</Words>
  <Characters>67379</Characters>
  <Lines>0</Lines>
  <Paragraphs>0</Paragraphs>
  <TotalTime>2</TotalTime>
  <ScaleCrop>false</ScaleCrop>
  <LinksUpToDate>false</LinksUpToDate>
  <CharactersWithSpaces>68262</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2021-11-10T01:00:00Z</dcterms:created>
  <dc:creator>Administrator</dc:creator>
  <cp:lastModifiedBy>Administrator</cp:lastModifiedBy>
  <cp:lastPrinted>2022-06-23T01:52:00Z</cp:lastPrinted>
  <dcterms:modified xsi:type="dcterms:W3CDTF">2022-08-10T10:53:36Z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BF9649F3F968465D914DB7B2EF89159D</vt:lpwstr>
  </property>
</Properties>
</file>