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before="132" w:after="0" w:line="360" w:lineRule="auto"/>
        <w:jc w:val="center"/>
        <w:rPr>
          <w:rFonts w:hint="eastAsia" w:ascii="Times New Roman" w:hAnsi="Times New Roman" w:eastAsia="宋体"/>
          <w:b/>
          <w:bCs/>
          <w:spacing w:val="2"/>
          <w:sz w:val="48"/>
          <w:lang w:eastAsia="zh-CN"/>
        </w:rPr>
      </w:pPr>
      <w:r>
        <w:rPr>
          <w:rFonts w:hint="eastAsia" w:ascii="Times New Roman" w:hAnsi="Times New Roman"/>
          <w:b/>
          <w:bCs/>
          <w:spacing w:val="2"/>
          <w:sz w:val="48"/>
          <w:lang w:val="en-US" w:eastAsia="zh-CN"/>
        </w:rPr>
        <w:t>河南经济贸易技师学院扩建工程</w:t>
      </w:r>
      <w:r>
        <w:rPr>
          <w:rFonts w:hint="eastAsia" w:ascii="Times New Roman" w:hAnsi="Times New Roman" w:eastAsia="宋体"/>
          <w:b/>
          <w:bCs/>
          <w:spacing w:val="2"/>
          <w:sz w:val="48"/>
          <w:lang w:eastAsia="zh-CN"/>
        </w:rPr>
        <w:t>土壤污染状况初步调查报告</w:t>
      </w:r>
    </w:p>
    <w:p>
      <w:pPr>
        <w:pStyle w:val="14"/>
        <w:spacing w:before="132" w:after="0" w:line="360" w:lineRule="auto"/>
        <w:jc w:val="center"/>
        <w:rPr>
          <w:rFonts w:ascii="Times New Roman" w:hAnsi="Times New Roman" w:eastAsia="宋体"/>
          <w:b/>
          <w:bCs/>
          <w:color w:val="FF0000"/>
          <w:spacing w:val="2"/>
          <w:sz w:val="48"/>
          <w:lang w:eastAsia="zh-CN"/>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ascii="Times New Roman" w:hAnsi="宋体"/>
          <w:b/>
          <w:sz w:val="28"/>
          <w:szCs w:val="28"/>
        </w:rPr>
      </w:pPr>
    </w:p>
    <w:p>
      <w:pPr>
        <w:adjustRightInd w:val="0"/>
        <w:ind w:firstLine="422" w:firstLineChars="150"/>
        <w:rPr>
          <w:rFonts w:hint="default" w:ascii="Times New Roman" w:hAnsi="Times New Roman" w:cs="Times New Roman"/>
          <w:kern w:val="2"/>
          <w:sz w:val="32"/>
          <w:szCs w:val="32"/>
          <w:u w:val="single"/>
        </w:rPr>
      </w:pPr>
      <w:r>
        <w:rPr>
          <w:rFonts w:hint="eastAsia" w:ascii="Times New Roman" w:hAnsi="宋体"/>
          <w:b/>
          <w:sz w:val="28"/>
          <w:szCs w:val="28"/>
          <w:lang w:eastAsia="zh-CN"/>
        </w:rPr>
        <w:t>提交</w:t>
      </w:r>
      <w:r>
        <w:rPr>
          <w:rFonts w:hint="eastAsia" w:ascii="Times New Roman" w:hAnsi="宋体"/>
          <w:b/>
          <w:sz w:val="28"/>
          <w:szCs w:val="28"/>
        </w:rPr>
        <w:t>单位：</w:t>
      </w:r>
      <w:r>
        <w:rPr>
          <w:rFonts w:hint="default" w:ascii="Times New Roman" w:hAnsi="宋体"/>
          <w:bCs/>
          <w:sz w:val="28"/>
          <w:szCs w:val="28"/>
          <w:u w:val="single"/>
        </w:rPr>
        <w:t>河南经济贸易技师学院</w:t>
      </w:r>
    </w:p>
    <w:p>
      <w:pPr>
        <w:adjustRightInd w:val="0"/>
        <w:ind w:firstLine="422" w:firstLineChars="150"/>
        <w:rPr>
          <w:rFonts w:ascii="Times New Roman" w:hAnsi="宋体"/>
          <w:bCs/>
          <w:sz w:val="28"/>
          <w:szCs w:val="28"/>
          <w:u w:val="single"/>
        </w:rPr>
      </w:pPr>
      <w:r>
        <w:rPr>
          <w:rFonts w:hint="eastAsia" w:ascii="Times New Roman" w:hAnsi="宋体"/>
          <w:b/>
          <w:sz w:val="28"/>
          <w:szCs w:val="28"/>
        </w:rPr>
        <w:t>编制单位：</w:t>
      </w:r>
      <w:r>
        <w:rPr>
          <w:rFonts w:hint="eastAsia" w:ascii="Times New Roman" w:hAnsi="宋体"/>
          <w:bCs/>
          <w:sz w:val="28"/>
          <w:szCs w:val="28"/>
          <w:u w:val="single"/>
        </w:rPr>
        <w:t>河南睿嘉环保科技有限责任公司</w:t>
      </w:r>
    </w:p>
    <w:p>
      <w:pPr>
        <w:adjustRightInd w:val="0"/>
        <w:ind w:firstLine="420" w:firstLineChars="150"/>
        <w:jc w:val="center"/>
        <w:rPr>
          <w:rFonts w:ascii="Times New Roman" w:hAnsi="宋体"/>
          <w:bCs/>
          <w:sz w:val="28"/>
          <w:szCs w:val="28"/>
        </w:rPr>
      </w:pPr>
    </w:p>
    <w:p>
      <w:pPr>
        <w:adjustRightInd w:val="0"/>
        <w:ind w:firstLine="420" w:firstLineChars="150"/>
        <w:jc w:val="center"/>
        <w:rPr>
          <w:rFonts w:ascii="Times New Roman" w:hAnsi="宋体"/>
          <w:bCs/>
          <w:sz w:val="28"/>
          <w:szCs w:val="28"/>
        </w:rPr>
      </w:pPr>
      <w:r>
        <w:rPr>
          <w:rFonts w:hint="eastAsia" w:ascii="Times New Roman" w:hAnsi="宋体"/>
          <w:bCs/>
          <w:sz w:val="28"/>
          <w:szCs w:val="28"/>
        </w:rPr>
        <w:t>二〇二</w:t>
      </w:r>
      <w:r>
        <w:rPr>
          <w:rFonts w:hint="eastAsia" w:ascii="Times New Roman" w:hAnsi="宋体"/>
          <w:bCs/>
          <w:sz w:val="28"/>
          <w:szCs w:val="28"/>
          <w:lang w:eastAsia="zh-CN"/>
        </w:rPr>
        <w:t>一</w:t>
      </w:r>
      <w:r>
        <w:rPr>
          <w:rFonts w:hint="eastAsia" w:ascii="Times New Roman" w:hAnsi="宋体"/>
          <w:bCs/>
          <w:sz w:val="28"/>
          <w:szCs w:val="28"/>
        </w:rPr>
        <w:t>年</w:t>
      </w:r>
      <w:r>
        <w:rPr>
          <w:rFonts w:hint="eastAsia" w:ascii="Times New Roman" w:hAnsi="宋体"/>
          <w:bCs/>
          <w:sz w:val="28"/>
          <w:szCs w:val="28"/>
          <w:lang w:eastAsia="zh-CN"/>
        </w:rPr>
        <w:t>一</w:t>
      </w:r>
      <w:r>
        <w:rPr>
          <w:rFonts w:hint="eastAsia" w:ascii="Times New Roman" w:hAnsi="宋体"/>
          <w:bCs/>
          <w:sz w:val="28"/>
          <w:szCs w:val="28"/>
        </w:rPr>
        <w:t>月</w:t>
      </w:r>
    </w:p>
    <w:p>
      <w:pPr>
        <w:ind w:left="972" w:hanging="972" w:hangingChars="200"/>
        <w:rPr>
          <w:rFonts w:ascii="Times New Roman" w:hAnsi="Times New Roman"/>
          <w:b/>
          <w:bCs/>
          <w:spacing w:val="2"/>
          <w:kern w:val="0"/>
          <w:sz w:val="48"/>
        </w:rPr>
      </w:pPr>
    </w:p>
    <w:p>
      <w:pPr>
        <w:pStyle w:val="14"/>
        <w:spacing w:before="132" w:after="0" w:line="360" w:lineRule="auto"/>
        <w:jc w:val="center"/>
        <w:rPr>
          <w:rFonts w:hint="eastAsia" w:ascii="Times New Roman" w:hAnsi="Times New Roman" w:eastAsia="宋体"/>
          <w:b/>
          <w:bCs/>
          <w:spacing w:val="2"/>
          <w:sz w:val="48"/>
          <w:lang w:eastAsia="zh-CN"/>
        </w:rPr>
      </w:pPr>
      <w:r>
        <w:rPr>
          <w:rFonts w:hint="eastAsia" w:ascii="Times New Roman" w:hAnsi="Times New Roman"/>
          <w:b/>
          <w:bCs/>
          <w:spacing w:val="2"/>
          <w:sz w:val="48"/>
          <w:lang w:val="en-US" w:eastAsia="zh-CN"/>
        </w:rPr>
        <w:t>河南经济贸易技师学院扩建工程</w:t>
      </w:r>
      <w:r>
        <w:rPr>
          <w:rFonts w:hint="eastAsia" w:ascii="Times New Roman" w:hAnsi="Times New Roman" w:eastAsia="宋体"/>
          <w:b/>
          <w:bCs/>
          <w:spacing w:val="2"/>
          <w:sz w:val="48"/>
          <w:lang w:eastAsia="zh-CN"/>
        </w:rPr>
        <w:t>土壤污染状况初步调查报告</w:t>
      </w:r>
    </w:p>
    <w:p>
      <w:pPr>
        <w:widowControl/>
        <w:ind w:firstLine="792" w:firstLineChars="300"/>
        <w:jc w:val="left"/>
        <w:rPr>
          <w:rFonts w:hint="eastAsia" w:ascii="Times New Roman" w:hAnsi="宋体"/>
          <w:spacing w:val="-8"/>
          <w:sz w:val="28"/>
          <w:szCs w:val="28"/>
        </w:rPr>
      </w:pPr>
    </w:p>
    <w:p>
      <w:pPr>
        <w:widowControl/>
        <w:ind w:firstLine="792" w:firstLineChars="300"/>
        <w:jc w:val="left"/>
        <w:rPr>
          <w:rFonts w:hint="eastAsia" w:ascii="Times New Roman" w:hAnsi="宋体"/>
          <w:spacing w:val="-8"/>
          <w:sz w:val="28"/>
          <w:szCs w:val="28"/>
        </w:rPr>
      </w:pPr>
    </w:p>
    <w:p>
      <w:pPr>
        <w:widowControl/>
        <w:ind w:firstLine="792" w:firstLineChars="300"/>
        <w:jc w:val="left"/>
        <w:rPr>
          <w:rFonts w:hint="eastAsia" w:ascii="Times New Roman" w:hAnsi="宋体"/>
          <w:spacing w:val="-8"/>
          <w:sz w:val="28"/>
          <w:szCs w:val="28"/>
          <w:lang w:val="en-US" w:eastAsia="zh-CN"/>
        </w:rPr>
      </w:pPr>
      <w:r>
        <w:rPr>
          <w:rFonts w:hint="eastAsia" w:ascii="Times New Roman" w:hAnsi="宋体"/>
          <w:spacing w:val="-8"/>
          <w:sz w:val="28"/>
          <w:szCs w:val="28"/>
        </w:rPr>
        <w:t>提交单位：</w:t>
      </w:r>
      <w:r>
        <w:rPr>
          <w:rFonts w:hint="eastAsia" w:ascii="Times New Roman" w:hAnsi="宋体"/>
          <w:spacing w:val="-8"/>
          <w:sz w:val="28"/>
          <w:szCs w:val="28"/>
          <w:lang w:val="en-US" w:eastAsia="zh-CN"/>
        </w:rPr>
        <w:t>河南经济贸易技师学校</w:t>
      </w:r>
    </w:p>
    <w:p>
      <w:pPr>
        <w:widowControl/>
        <w:ind w:firstLine="792" w:firstLineChars="300"/>
        <w:jc w:val="left"/>
        <w:rPr>
          <w:rFonts w:ascii="Times New Roman" w:hAnsi="宋体"/>
          <w:spacing w:val="-8"/>
          <w:sz w:val="28"/>
          <w:szCs w:val="28"/>
        </w:rPr>
      </w:pPr>
      <w:r>
        <w:rPr>
          <w:rFonts w:hint="eastAsia" w:ascii="Times New Roman" w:hAnsi="宋体"/>
          <w:spacing w:val="-8"/>
          <w:sz w:val="28"/>
          <w:szCs w:val="28"/>
        </w:rPr>
        <w:t>编写单位：河南睿嘉环保科技有限责任公司</w:t>
      </w:r>
    </w:p>
    <w:p>
      <w:pPr>
        <w:widowControl/>
        <w:ind w:firstLine="792" w:firstLineChars="300"/>
        <w:jc w:val="left"/>
        <w:rPr>
          <w:rFonts w:ascii="Times New Roman" w:hAnsi="宋体"/>
          <w:spacing w:val="-8"/>
          <w:sz w:val="28"/>
          <w:szCs w:val="28"/>
        </w:rPr>
      </w:pPr>
      <w:r>
        <w:rPr>
          <w:rFonts w:hint="eastAsia" w:ascii="Times New Roman" w:hAnsi="宋体"/>
          <w:spacing w:val="-8"/>
          <w:sz w:val="28"/>
          <w:szCs w:val="28"/>
        </w:rPr>
        <w:t>总工：贾保军</w:t>
      </w:r>
    </w:p>
    <w:p>
      <w:pPr>
        <w:widowControl/>
        <w:ind w:firstLine="792" w:firstLineChars="300"/>
        <w:jc w:val="left"/>
        <w:rPr>
          <w:rFonts w:hint="eastAsia" w:ascii="Times New Roman" w:hAnsi="宋体" w:eastAsia="宋体"/>
          <w:spacing w:val="-8"/>
          <w:sz w:val="28"/>
          <w:szCs w:val="28"/>
          <w:lang w:eastAsia="zh-CN"/>
        </w:rPr>
      </w:pPr>
      <w:r>
        <w:rPr>
          <w:rFonts w:hint="eastAsia" w:ascii="Times New Roman" w:hAnsi="宋体"/>
          <w:spacing w:val="-8"/>
          <w:sz w:val="28"/>
          <w:szCs w:val="28"/>
        </w:rPr>
        <w:t>项目负责：</w:t>
      </w:r>
      <w:r>
        <w:rPr>
          <w:rFonts w:hint="eastAsia" w:ascii="Times New Roman" w:hAnsi="宋体"/>
          <w:spacing w:val="-8"/>
          <w:sz w:val="28"/>
          <w:szCs w:val="28"/>
          <w:lang w:eastAsia="zh-CN"/>
        </w:rPr>
        <w:t>李娇娇</w:t>
      </w:r>
    </w:p>
    <w:p>
      <w:pPr>
        <w:widowControl/>
        <w:ind w:firstLine="792" w:firstLineChars="300"/>
        <w:jc w:val="left"/>
        <w:rPr>
          <w:rFonts w:ascii="Times New Roman" w:hAnsi="宋体"/>
          <w:spacing w:val="-8"/>
          <w:sz w:val="28"/>
          <w:szCs w:val="28"/>
        </w:rPr>
      </w:pPr>
      <w:r>
        <w:rPr>
          <w:rFonts w:hint="eastAsia" w:ascii="Times New Roman" w:hAnsi="宋体"/>
          <w:spacing w:val="-8"/>
          <w:sz w:val="28"/>
          <w:szCs w:val="28"/>
        </w:rPr>
        <w:t>编制组成员：</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417"/>
        <w:gridCol w:w="1418"/>
        <w:gridCol w:w="2693"/>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姓名</w:t>
            </w: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专业</w:t>
            </w: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职务/职称</w:t>
            </w: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主要职责</w:t>
            </w:r>
          </w:p>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（负责的内容）</w:t>
            </w: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苏春颖</w:t>
            </w: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环境工程</w:t>
            </w: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sz w:val="24"/>
                <w:szCs w:val="24"/>
                <w:lang w:eastAsia="zh-CN"/>
              </w:rPr>
            </w:pPr>
            <w:r>
              <w:rPr>
                <w:rFonts w:hint="eastAsia" w:ascii="Times New Roman" w:hAnsi="宋体"/>
                <w:sz w:val="24"/>
                <w:szCs w:val="24"/>
                <w:lang w:eastAsia="zh-CN"/>
              </w:rPr>
              <w:t>助工</w:t>
            </w: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color w:val="auto"/>
                <w:sz w:val="24"/>
                <w:szCs w:val="24"/>
                <w:lang w:eastAsia="zh-CN"/>
              </w:rPr>
            </w:pPr>
            <w:r>
              <w:rPr>
                <w:rFonts w:hint="eastAsia" w:ascii="Times New Roman" w:hAnsi="宋体"/>
                <w:color w:val="auto"/>
                <w:sz w:val="24"/>
                <w:szCs w:val="24"/>
              </w:rPr>
              <w:t>报告编写</w:t>
            </w: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杜路豪</w:t>
            </w: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环境工程</w:t>
            </w: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lang w:eastAsia="zh-CN"/>
              </w:rPr>
              <w:t>助工</w:t>
            </w: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color w:val="auto"/>
                <w:sz w:val="24"/>
                <w:szCs w:val="24"/>
              </w:rPr>
            </w:pPr>
            <w:r>
              <w:rPr>
                <w:rFonts w:hint="eastAsia" w:ascii="Times New Roman" w:hAnsi="宋体"/>
                <w:color w:val="auto"/>
                <w:sz w:val="24"/>
                <w:szCs w:val="24"/>
              </w:rPr>
              <w:t>报告编写</w:t>
            </w: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cs="Times New Roman"/>
                <w:kern w:val="2"/>
                <w:sz w:val="24"/>
                <w:szCs w:val="24"/>
                <w:lang w:val="en-US" w:eastAsia="zh-CN" w:bidi="ar-SA"/>
              </w:rPr>
            </w:pPr>
            <w:r>
              <w:rPr>
                <w:rFonts w:hint="eastAsia" w:ascii="Times New Roman" w:hAnsi="宋体"/>
                <w:sz w:val="24"/>
                <w:szCs w:val="24"/>
                <w:lang w:eastAsia="zh-CN"/>
              </w:rPr>
              <w:t>李娇娇</w:t>
            </w: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r>
              <w:rPr>
                <w:rFonts w:hint="eastAsia" w:ascii="Times New Roman" w:hAnsi="宋体"/>
                <w:sz w:val="24"/>
                <w:szCs w:val="24"/>
              </w:rPr>
              <w:t>环境工程</w:t>
            </w: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r>
              <w:rPr>
                <w:rFonts w:hint="eastAsia" w:ascii="Times New Roman" w:hAnsi="宋体" w:cs="Times New Roman"/>
                <w:kern w:val="2"/>
                <w:sz w:val="24"/>
                <w:szCs w:val="24"/>
                <w:lang w:val="en-US" w:eastAsia="zh-CN" w:bidi="ar-SA"/>
              </w:rPr>
              <w:t>工程师</w:t>
            </w: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cs="Times New Roman"/>
                <w:color w:val="auto"/>
                <w:kern w:val="2"/>
                <w:sz w:val="24"/>
                <w:szCs w:val="24"/>
                <w:lang w:val="en-US" w:eastAsia="zh-CN" w:bidi="ar-SA"/>
              </w:rPr>
            </w:pPr>
            <w:r>
              <w:rPr>
                <w:rFonts w:hint="eastAsia" w:ascii="Times New Roman" w:hAnsi="宋体"/>
                <w:color w:val="auto"/>
                <w:sz w:val="24"/>
                <w:szCs w:val="24"/>
                <w:lang w:eastAsia="zh-CN"/>
              </w:rPr>
              <w:t>审核</w:t>
            </w: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贾保军</w:t>
            </w: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r>
              <w:rPr>
                <w:rFonts w:hint="eastAsia" w:ascii="Times New Roman" w:hAnsi="宋体"/>
                <w:sz w:val="24"/>
                <w:szCs w:val="24"/>
              </w:rPr>
              <w:t>环境工程</w:t>
            </w: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sz w:val="24"/>
                <w:szCs w:val="24"/>
                <w:lang w:eastAsia="zh-CN"/>
              </w:rPr>
            </w:pPr>
            <w:r>
              <w:rPr>
                <w:rFonts w:hint="eastAsia" w:ascii="Times New Roman" w:hAnsi="宋体"/>
                <w:sz w:val="24"/>
                <w:szCs w:val="24"/>
                <w:lang w:eastAsia="zh-CN"/>
              </w:rPr>
              <w:t>总工</w:t>
            </w: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color w:val="auto"/>
                <w:sz w:val="24"/>
                <w:szCs w:val="24"/>
                <w:lang w:eastAsia="zh-CN"/>
              </w:rPr>
            </w:pPr>
            <w:r>
              <w:rPr>
                <w:rFonts w:hint="eastAsia" w:ascii="Times New Roman" w:hAnsi="宋体"/>
                <w:color w:val="auto"/>
                <w:sz w:val="24"/>
                <w:szCs w:val="24"/>
              </w:rPr>
              <w:t>审</w:t>
            </w:r>
            <w:r>
              <w:rPr>
                <w:rFonts w:hint="eastAsia" w:ascii="Times New Roman" w:hAnsi="宋体"/>
                <w:color w:val="auto"/>
                <w:sz w:val="24"/>
                <w:szCs w:val="24"/>
                <w:lang w:eastAsia="zh-CN"/>
              </w:rPr>
              <w:t>定</w:t>
            </w: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hint="eastAsia" w:ascii="Times New Roman" w:hAnsi="宋体" w:eastAsia="宋体" w:cs="Times New Roman"/>
                <w:color w:val="auto"/>
                <w:kern w:val="2"/>
                <w:sz w:val="24"/>
                <w:szCs w:val="24"/>
                <w:lang w:val="en-US" w:eastAsia="zh-CN" w:bidi="ar-SA"/>
              </w:rPr>
            </w:pP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eastAsia="宋体" w:cs="Times New Roman"/>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c>
          <w:tcPr>
            <w:tcW w:w="1417"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c>
          <w:tcPr>
            <w:tcW w:w="141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c>
          <w:tcPr>
            <w:tcW w:w="2693"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color w:val="FF0000"/>
                <w:sz w:val="24"/>
                <w:szCs w:val="24"/>
              </w:rPr>
            </w:pPr>
          </w:p>
        </w:tc>
        <w:tc>
          <w:tcPr>
            <w:tcW w:w="1468" w:type="dxa"/>
            <w:noWrap/>
            <w:vAlign w:val="center"/>
          </w:tcPr>
          <w:p>
            <w:pPr>
              <w:tabs>
                <w:tab w:val="left" w:pos="2340"/>
                <w:tab w:val="left" w:pos="2520"/>
                <w:tab w:val="left" w:pos="2880"/>
                <w:tab w:val="left" w:pos="3240"/>
                <w:tab w:val="left" w:pos="3420"/>
                <w:tab w:val="left" w:pos="3780"/>
                <w:tab w:val="left" w:pos="3960"/>
              </w:tabs>
              <w:spacing w:line="360" w:lineRule="auto"/>
              <w:jc w:val="center"/>
              <w:rPr>
                <w:rFonts w:ascii="Times New Roman" w:hAnsi="宋体"/>
                <w:sz w:val="24"/>
                <w:szCs w:val="24"/>
              </w:rPr>
            </w:pPr>
          </w:p>
        </w:tc>
      </w:tr>
    </w:tbl>
    <w:p>
      <w:pPr>
        <w:widowControl/>
        <w:ind w:firstLine="792" w:firstLineChars="300"/>
        <w:jc w:val="left"/>
      </w:pPr>
      <w:r>
        <w:rPr>
          <w:rFonts w:hint="eastAsia" w:hAnsi="宋体"/>
          <w:spacing w:val="-8"/>
          <w:sz w:val="28"/>
          <w:szCs w:val="28"/>
        </w:rPr>
        <w:t>提交时间：</w:t>
      </w:r>
    </w:p>
    <w:p>
      <w:pPr>
        <w:ind w:firstLine="3373" w:firstLineChars="1200"/>
        <w:rPr>
          <w:b/>
          <w:bCs/>
          <w:sz w:val="28"/>
          <w:szCs w:val="28"/>
        </w:rPr>
      </w:pPr>
    </w:p>
    <w:p>
      <w:pPr>
        <w:ind w:firstLine="3373" w:firstLineChars="1200"/>
        <w:rPr>
          <w:b/>
          <w:bCs/>
          <w:sz w:val="28"/>
          <w:szCs w:val="28"/>
        </w:rPr>
      </w:pPr>
    </w:p>
    <w:p>
      <w:pPr>
        <w:ind w:firstLine="3373" w:firstLineChars="1200"/>
        <w:rPr>
          <w:b/>
          <w:bCs/>
          <w:sz w:val="28"/>
          <w:szCs w:val="28"/>
        </w:rPr>
      </w:pPr>
    </w:p>
    <w:p>
      <w:pPr>
        <w:ind w:firstLine="3373" w:firstLineChars="1200"/>
        <w:rPr>
          <w:b/>
          <w:bCs/>
          <w:sz w:val="28"/>
          <w:szCs w:val="28"/>
        </w:rPr>
      </w:pPr>
    </w:p>
    <w:p>
      <w:pPr>
        <w:ind w:firstLine="3373" w:firstLineChars="1200"/>
        <w:rPr>
          <w:b/>
          <w:bCs/>
          <w:sz w:val="28"/>
          <w:szCs w:val="28"/>
        </w:rPr>
      </w:pPr>
    </w:p>
    <w:p>
      <w:pPr>
        <w:rPr>
          <w:rFonts w:hint="eastAsia"/>
          <w:b/>
          <w:bCs/>
          <w:sz w:val="36"/>
          <w:szCs w:val="36"/>
        </w:rPr>
      </w:pPr>
    </w:p>
    <w:p>
      <w:pPr>
        <w:ind w:firstLine="3614" w:firstLineChars="1000"/>
        <w:rPr>
          <w:b/>
          <w:bCs/>
          <w:sz w:val="36"/>
          <w:szCs w:val="36"/>
        </w:rPr>
      </w:pPr>
      <w:r>
        <w:rPr>
          <w:rFonts w:hint="eastAsia"/>
          <w:b/>
          <w:bCs/>
          <w:sz w:val="36"/>
          <w:szCs w:val="36"/>
        </w:rPr>
        <w:t>摘</w:t>
      </w:r>
      <w:r>
        <w:rPr>
          <w:rFonts w:hint="eastAsia"/>
          <w:b/>
          <w:bCs/>
          <w:sz w:val="36"/>
          <w:szCs w:val="36"/>
          <w:lang w:val="en-US" w:eastAsia="zh-CN"/>
        </w:rPr>
        <w:t xml:space="preserve">  </w:t>
      </w:r>
      <w:r>
        <w:rPr>
          <w:rFonts w:hint="eastAsia"/>
          <w:b/>
          <w:bCs/>
          <w:sz w:val="36"/>
          <w:szCs w:val="36"/>
        </w:rPr>
        <w:t>要</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本次调查的</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位于</w:t>
      </w:r>
      <w:r>
        <w:rPr>
          <w:rFonts w:hint="eastAsia" w:ascii="Times New Roman" w:hAnsi="Times New Roman" w:cs="Times New Roman"/>
          <w:sz w:val="24"/>
          <w:szCs w:val="24"/>
          <w:lang w:eastAsia="zh-CN"/>
        </w:rPr>
        <w:t>新乡市</w:t>
      </w:r>
      <w:r>
        <w:rPr>
          <w:rFonts w:hint="eastAsia" w:ascii="Times New Roman" w:hAnsi="Times New Roman" w:cs="Times New Roman"/>
          <w:sz w:val="24"/>
          <w:szCs w:val="24"/>
          <w:lang w:val="en-US" w:eastAsia="zh-CN"/>
        </w:rPr>
        <w:t>卫滨</w:t>
      </w:r>
      <w:r>
        <w:rPr>
          <w:rFonts w:hint="default" w:ascii="Times New Roman" w:hAnsi="Times New Roman" w:cs="Times New Roman"/>
          <w:sz w:val="24"/>
          <w:szCs w:val="24"/>
        </w:rPr>
        <w:t>区</w:t>
      </w:r>
      <w:r>
        <w:rPr>
          <w:rFonts w:hint="eastAsia" w:ascii="Times New Roman" w:hAnsi="Times New Roman" w:cs="Times New Roman"/>
          <w:sz w:val="24"/>
          <w:szCs w:val="24"/>
          <w:lang w:val="en-US" w:eastAsia="zh-CN"/>
        </w:rPr>
        <w:t>河南经济贸易技师学院北</w:t>
      </w:r>
      <w:r>
        <w:rPr>
          <w:rFonts w:hint="default" w:ascii="Times New Roman" w:hAnsi="Times New Roman" w:cs="Times New Roman"/>
          <w:sz w:val="24"/>
          <w:szCs w:val="24"/>
        </w:rPr>
        <w:t>，</w:t>
      </w:r>
      <w:r>
        <w:rPr>
          <w:rFonts w:hint="eastAsia" w:ascii="Times New Roman" w:hAnsi="Times New Roman" w:cs="Times New Roman"/>
          <w:sz w:val="24"/>
          <w:szCs w:val="24"/>
          <w:lang w:eastAsia="zh-CN"/>
        </w:rPr>
        <w:t>面积</w:t>
      </w:r>
      <w:r>
        <w:rPr>
          <w:rFonts w:hint="eastAsia" w:ascii="Times New Roman" w:hAnsi="Times New Roman" w:cs="Times New Roman"/>
          <w:sz w:val="24"/>
          <w:szCs w:val="24"/>
          <w:lang w:val="en-US" w:eastAsia="zh-CN"/>
        </w:rPr>
        <w:t>16948.32m</w:t>
      </w:r>
      <w:r>
        <w:rPr>
          <w:rFonts w:hint="eastAsia" w:ascii="Times New Roman" w:hAnsi="Times New Roman" w:cs="Times New Roman"/>
          <w:sz w:val="24"/>
          <w:szCs w:val="24"/>
          <w:vertAlign w:val="superscript"/>
          <w:lang w:val="en-US" w:eastAsia="zh-CN"/>
        </w:rPr>
        <w:t>2</w:t>
      </w:r>
      <w:r>
        <w:rPr>
          <w:rFonts w:hint="eastAsia" w:ascii="Times New Roman" w:hAnsi="Times New Roman" w:cs="Times New Roman"/>
          <w:sz w:val="24"/>
          <w:szCs w:val="24"/>
          <w:vertAlign w:val="baseline"/>
          <w:lang w:val="en-US" w:eastAsia="zh-CN"/>
        </w:rPr>
        <w:t>，根据《新乡市规划设计条件通知书（新规条件2015-53号）》，</w:t>
      </w:r>
      <w:r>
        <w:rPr>
          <w:rFonts w:hint="default" w:ascii="Times New Roman" w:hAnsi="Times New Roman" w:cs="Times New Roman"/>
          <w:sz w:val="24"/>
          <w:szCs w:val="24"/>
        </w:rPr>
        <w:t>地块为</w:t>
      </w:r>
      <w:r>
        <w:rPr>
          <w:rFonts w:hint="eastAsia" w:ascii="Times New Roman" w:hAnsi="Times New Roman" w:cs="Times New Roman"/>
          <w:sz w:val="24"/>
          <w:szCs w:val="24"/>
          <w:lang w:val="en-US" w:eastAsia="zh-CN"/>
        </w:rPr>
        <w:t>教育科研用地</w:t>
      </w:r>
      <w:r>
        <w:rPr>
          <w:rFonts w:hint="default" w:ascii="Times New Roman" w:hAnsi="Times New Roman" w:cs="Times New Roman"/>
          <w:sz w:val="24"/>
          <w:szCs w:val="24"/>
        </w:rPr>
        <w:t>，现在实际用途为闲置地。</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中华人民共和国土壤污染防治法》（2019.1.1），《污染地块土壤环境管理办法（试行）》（环境保护部令第42号，2016）、《河南省污染地块土壤环境管理办法（试行）》（豫环文[2018]243号）相关要求和相关规定，为了确定</w:t>
      </w:r>
      <w:r>
        <w:rPr>
          <w:rFonts w:hint="eastAsia" w:ascii="Times New Roman" w:hAnsi="Times New Roman" w:cs="Times New Roman"/>
          <w:sz w:val="24"/>
          <w:szCs w:val="24"/>
          <w:lang w:val="en-US" w:eastAsia="zh-CN"/>
        </w:rPr>
        <w:t>周边生产生活</w:t>
      </w:r>
      <w:r>
        <w:rPr>
          <w:rFonts w:hint="default" w:ascii="Times New Roman" w:hAnsi="Times New Roman" w:cs="Times New Roman"/>
          <w:sz w:val="24"/>
          <w:szCs w:val="24"/>
        </w:rPr>
        <w:t>对地块土壤污染状况，受新</w:t>
      </w:r>
      <w:r>
        <w:rPr>
          <w:rFonts w:hint="eastAsia" w:ascii="Times New Roman" w:hAnsi="Times New Roman" w:cs="Times New Roman"/>
          <w:sz w:val="24"/>
          <w:szCs w:val="24"/>
          <w:lang w:val="en-US" w:eastAsia="zh-CN"/>
        </w:rPr>
        <w:t>河南经济贸易技师学院</w:t>
      </w:r>
      <w:r>
        <w:rPr>
          <w:rFonts w:hint="default" w:ascii="Times New Roman" w:hAnsi="Times New Roman" w:cs="Times New Roman"/>
          <w:sz w:val="24"/>
          <w:szCs w:val="24"/>
          <w:lang w:eastAsia="zh-CN"/>
        </w:rPr>
        <w:t>委托</w:t>
      </w:r>
      <w:r>
        <w:rPr>
          <w:rFonts w:hint="default" w:ascii="Times New Roman" w:hAnsi="Times New Roman" w:cs="Times New Roman"/>
          <w:sz w:val="24"/>
          <w:szCs w:val="24"/>
        </w:rPr>
        <w:t>我公司承担了该</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土壤污染状况调查工作。本次调查地块面积为</w:t>
      </w:r>
      <w:r>
        <w:rPr>
          <w:rFonts w:hint="eastAsia" w:ascii="Times New Roman" w:hAnsi="Times New Roman" w:cs="Times New Roman"/>
          <w:sz w:val="24"/>
          <w:szCs w:val="24"/>
          <w:lang w:val="en-US" w:eastAsia="zh-CN"/>
        </w:rPr>
        <w:t>16948.32m</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rPr>
        <w:t>，调查自</w:t>
      </w:r>
      <w:r>
        <w:rPr>
          <w:rFonts w:hint="eastAsia" w:ascii="Times New Roman" w:hAnsi="Times New Roman" w:cs="Times New Roman"/>
          <w:sz w:val="24"/>
          <w:szCs w:val="24"/>
          <w:lang w:val="en-US" w:eastAsia="zh-CN"/>
        </w:rPr>
        <w:t>2020</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10</w:t>
      </w:r>
      <w:r>
        <w:rPr>
          <w:rFonts w:hint="default" w:ascii="Times New Roman" w:hAnsi="Times New Roman" w:cs="Times New Roman"/>
          <w:sz w:val="24"/>
          <w:szCs w:val="24"/>
        </w:rPr>
        <w:t>月至</w:t>
      </w:r>
      <w:r>
        <w:rPr>
          <w:rFonts w:hint="eastAsia" w:ascii="Times New Roman" w:hAnsi="Times New Roman" w:cs="Times New Roman"/>
          <w:sz w:val="24"/>
          <w:szCs w:val="24"/>
          <w:lang w:val="en-US" w:eastAsia="zh-CN"/>
        </w:rPr>
        <w:t>2020</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11</w:t>
      </w:r>
      <w:r>
        <w:rPr>
          <w:rFonts w:hint="default" w:ascii="Times New Roman" w:hAnsi="Times New Roman" w:cs="Times New Roman"/>
          <w:sz w:val="24"/>
          <w:szCs w:val="24"/>
        </w:rPr>
        <w:t>月结束，分别进行了第一阶段污染物识别、第二阶段采样测试分析等工作。</w:t>
      </w:r>
    </w:p>
    <w:p>
      <w:pPr>
        <w:widowControl/>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sz w:val="24"/>
          <w:szCs w:val="24"/>
        </w:rPr>
        <w:t>第一阶段根据人员访谈、现场踏勘和资料分析，判断调查地块的污染区域为闲置地，地块前期为农用地，分析认为涉及到的</w:t>
      </w:r>
      <w:r>
        <w:rPr>
          <w:rFonts w:hint="default" w:ascii="Times New Roman" w:hAnsi="Times New Roman" w:cs="Times New Roman"/>
          <w:color w:val="auto"/>
          <w:sz w:val="24"/>
          <w:szCs w:val="24"/>
        </w:rPr>
        <w:t>重点潜在污染物主要有部分有机物</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农业灌溉造成的水体富营养化及施肥过程中砷、铅等元素</w:t>
      </w:r>
      <w:r>
        <w:rPr>
          <w:rFonts w:hint="default" w:ascii="Times New Roman" w:hAnsi="Times New Roman" w:cs="Times New Roman"/>
          <w:color w:val="auto"/>
          <w:sz w:val="24"/>
          <w:szCs w:val="24"/>
        </w:rPr>
        <w:t>。</w:t>
      </w:r>
    </w:p>
    <w:p>
      <w:pPr>
        <w:widowControl/>
        <w:spacing w:line="360" w:lineRule="auto"/>
        <w:ind w:firstLine="480" w:firstLineChars="200"/>
        <w:jc w:val="left"/>
        <w:rPr>
          <w:rFonts w:hint="default" w:ascii="Times New Roman" w:hAnsi="Times New Roman" w:cs="Times New Roman"/>
          <w:color w:val="0000FF"/>
          <w:sz w:val="24"/>
          <w:szCs w:val="24"/>
        </w:rPr>
      </w:pPr>
      <w:r>
        <w:rPr>
          <w:rFonts w:hint="default" w:ascii="Times New Roman" w:hAnsi="Times New Roman" w:cs="Times New Roman"/>
          <w:sz w:val="24"/>
          <w:szCs w:val="24"/>
        </w:rPr>
        <w:t>第二阶段转入样品采集测试阶段。</w:t>
      </w:r>
      <w:r>
        <w:rPr>
          <w:rFonts w:hint="eastAsia" w:hAnsi="宋体"/>
          <w:sz w:val="24"/>
          <w:szCs w:val="24"/>
        </w:rPr>
        <w:t>根据《建设用地土壤环境调查评估技术指南》（环保部公告2017年第72号令）要求，运用分区布点法在地块内布设了</w:t>
      </w:r>
      <w:r>
        <w:rPr>
          <w:rFonts w:hint="eastAsia" w:hAnsi="宋体"/>
          <w:sz w:val="24"/>
          <w:szCs w:val="24"/>
          <w:lang w:val="en-US" w:eastAsia="zh-CN"/>
        </w:rPr>
        <w:t>7</w:t>
      </w:r>
      <w:r>
        <w:rPr>
          <w:rFonts w:hint="eastAsia" w:hAnsi="宋体"/>
          <w:sz w:val="24"/>
          <w:szCs w:val="24"/>
        </w:rPr>
        <w:t>个土壤采样点（</w:t>
      </w:r>
      <w:r>
        <w:rPr>
          <w:rFonts w:hint="eastAsia" w:hAnsi="宋体"/>
          <w:color w:val="auto"/>
          <w:sz w:val="24"/>
          <w:szCs w:val="24"/>
        </w:rPr>
        <w:t>取样深度为</w:t>
      </w:r>
      <w:r>
        <w:rPr>
          <w:rFonts w:hint="eastAsia" w:hAnsi="宋体"/>
          <w:color w:val="auto"/>
          <w:sz w:val="24"/>
          <w:szCs w:val="24"/>
          <w:lang w:val="en-US" w:eastAsia="zh-CN"/>
        </w:rPr>
        <w:t>3</w:t>
      </w:r>
      <w:r>
        <w:rPr>
          <w:rFonts w:hint="eastAsia" w:hAnsi="宋体"/>
          <w:color w:val="auto"/>
          <w:sz w:val="24"/>
          <w:szCs w:val="24"/>
        </w:rPr>
        <w:t>m），3</w:t>
      </w:r>
      <w:r>
        <w:rPr>
          <w:rFonts w:hint="eastAsia" w:hAnsi="宋体"/>
          <w:sz w:val="24"/>
          <w:szCs w:val="24"/>
        </w:rPr>
        <w:t>个地下水采样点，共计采集土壤样品</w:t>
      </w:r>
      <w:r>
        <w:rPr>
          <w:rFonts w:hint="eastAsia" w:hAnsi="宋体"/>
          <w:sz w:val="24"/>
          <w:szCs w:val="24"/>
          <w:lang w:val="en-US" w:eastAsia="zh-CN"/>
        </w:rPr>
        <w:t>21</w:t>
      </w:r>
      <w:r>
        <w:rPr>
          <w:rFonts w:hint="eastAsia" w:hAnsi="宋体"/>
          <w:sz w:val="24"/>
          <w:szCs w:val="24"/>
        </w:rPr>
        <w:t>件、地下水样品</w:t>
      </w:r>
      <w:r>
        <w:rPr>
          <w:rFonts w:hint="eastAsia" w:hAnsi="宋体"/>
          <w:sz w:val="24"/>
          <w:szCs w:val="24"/>
          <w:lang w:val="en-US" w:eastAsia="zh-CN"/>
        </w:rPr>
        <w:t>3</w:t>
      </w:r>
      <w:r>
        <w:rPr>
          <w:rFonts w:hint="eastAsia" w:hAnsi="宋体"/>
          <w:sz w:val="24"/>
          <w:szCs w:val="24"/>
        </w:rPr>
        <w:t>件。本次调查土壤样品测试项目的设置为《土壤环境质量建设用地土壤污染风险管控标准（试行）》（GB36600—2018）规定的建设用地土壤污染风险筛值基本项目45项，加测项为pH；地下水样的测试项目参考《地下水质量标准》（GB/T 14848-2017）和《污染物排放标准》GB21900-2008相关规定设置，共计37个指标。</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本次调查所采集的土样测试工作、质量控制样品测试、地下水样品测试工作由河南摩尔检测有限公司进行。</w:t>
      </w:r>
    </w:p>
    <w:p>
      <w:pPr>
        <w:widowControl/>
        <w:spacing w:line="360" w:lineRule="auto"/>
        <w:ind w:firstLine="480" w:firstLineChars="200"/>
        <w:jc w:val="left"/>
        <w:rPr>
          <w:rFonts w:hint="eastAsia" w:hAnsi="宋体"/>
          <w:sz w:val="24"/>
          <w:szCs w:val="24"/>
        </w:rPr>
      </w:pPr>
      <w:r>
        <w:rPr>
          <w:rFonts w:hint="default" w:ascii="Times New Roman" w:hAnsi="Times New Roman" w:cs="Times New Roman"/>
          <w:sz w:val="24"/>
          <w:szCs w:val="24"/>
        </w:rPr>
        <w:t>土壤样品检测结果表明：</w:t>
      </w:r>
      <w:r>
        <w:rPr>
          <w:rFonts w:hint="eastAsia" w:hAnsi="宋体"/>
          <w:sz w:val="24"/>
          <w:szCs w:val="24"/>
        </w:rPr>
        <w:t>所有检测项目均低于《土壤环境质量建设用地土壤环境污染风险管控标准》</w:t>
      </w:r>
      <w:r>
        <w:rPr>
          <w:rFonts w:hint="eastAsia" w:hAnsi="宋体"/>
          <w:color w:val="auto"/>
          <w:sz w:val="24"/>
          <w:szCs w:val="24"/>
        </w:rPr>
        <w:t>（GB36600-2018）规定的建设用地土壤污染风险第</w:t>
      </w:r>
      <w:r>
        <w:rPr>
          <w:rFonts w:hint="eastAsia" w:hAnsi="宋体"/>
          <w:color w:val="auto"/>
          <w:sz w:val="24"/>
          <w:szCs w:val="24"/>
          <w:lang w:eastAsia="zh-CN"/>
        </w:rPr>
        <w:t>一</w:t>
      </w:r>
      <w:r>
        <w:rPr>
          <w:rFonts w:hint="eastAsia" w:hAnsi="宋体"/>
          <w:color w:val="auto"/>
          <w:sz w:val="24"/>
          <w:szCs w:val="24"/>
        </w:rPr>
        <w:t>类用地筛选值标准</w:t>
      </w:r>
      <w:r>
        <w:rPr>
          <w:rFonts w:hint="eastAsia" w:hAnsi="宋体"/>
          <w:sz w:val="24"/>
          <w:szCs w:val="24"/>
        </w:rPr>
        <w:t>。</w:t>
      </w:r>
    </w:p>
    <w:p>
      <w:pPr>
        <w:widowControl/>
        <w:spacing w:line="360" w:lineRule="auto"/>
        <w:ind w:firstLine="480" w:firstLineChars="200"/>
        <w:jc w:val="left"/>
        <w:rPr>
          <w:rFonts w:hint="eastAsia" w:ascii="Times New Roman" w:hAnsi="Times New Roman" w:eastAsia="宋体" w:cs="Times New Roman"/>
          <w:sz w:val="24"/>
          <w:szCs w:val="24"/>
          <w:lang w:eastAsia="zh-CN"/>
        </w:rPr>
      </w:pPr>
      <w:r>
        <w:rPr>
          <w:rFonts w:hint="eastAsia" w:hAnsi="宋体"/>
          <w:sz w:val="24"/>
          <w:szCs w:val="24"/>
        </w:rPr>
        <w:t>地下水样检测结果表明除总硬度、溶解性总固体、铝、氨氮</w:t>
      </w:r>
      <w:r>
        <w:rPr>
          <w:rFonts w:hint="eastAsia" w:hAnsi="宋体"/>
          <w:sz w:val="24"/>
          <w:szCs w:val="24"/>
          <w:lang w:eastAsia="zh-CN"/>
        </w:rPr>
        <w:t>、硫酸盐、氯化物、钠</w:t>
      </w:r>
      <w:r>
        <w:rPr>
          <w:rFonts w:hint="eastAsia" w:hAnsi="宋体"/>
          <w:sz w:val="24"/>
          <w:szCs w:val="24"/>
        </w:rPr>
        <w:t>外，其他检测指标均符合地下水</w:t>
      </w:r>
      <w:r>
        <w:rPr>
          <w:rFonts w:hint="eastAsia" w:hAnsi="宋体"/>
          <w:sz w:val="24"/>
          <w:szCs w:val="24"/>
        </w:rPr>
        <w:fldChar w:fldCharType="begin"/>
      </w:r>
      <w:r>
        <w:rPr>
          <w:rFonts w:hint="eastAsia" w:hAnsi="宋体"/>
          <w:sz w:val="24"/>
          <w:szCs w:val="24"/>
        </w:rPr>
        <w:instrText xml:space="preserve">=3\*ROMAN</w:instrText>
      </w:r>
      <w:r>
        <w:rPr>
          <w:rFonts w:hint="eastAsia" w:hAnsi="宋体"/>
          <w:sz w:val="24"/>
          <w:szCs w:val="24"/>
        </w:rPr>
        <w:fldChar w:fldCharType="separate"/>
      </w:r>
      <w:r>
        <w:rPr>
          <w:rFonts w:hint="eastAsia" w:hAnsi="宋体"/>
          <w:sz w:val="24"/>
          <w:szCs w:val="24"/>
        </w:rPr>
        <w:t>III</w:t>
      </w:r>
      <w:r>
        <w:rPr>
          <w:rFonts w:hint="eastAsia" w:hAnsi="宋体"/>
          <w:sz w:val="24"/>
          <w:szCs w:val="24"/>
        </w:rPr>
        <w:fldChar w:fldCharType="end"/>
      </w:r>
      <w:r>
        <w:rPr>
          <w:rFonts w:hint="eastAsia" w:hAnsi="宋体"/>
          <w:sz w:val="24"/>
          <w:szCs w:val="24"/>
        </w:rPr>
        <w:t>类水质标准</w:t>
      </w:r>
      <w:r>
        <w:rPr>
          <w:rFonts w:hint="eastAsia" w:hAnsi="宋体"/>
          <w:sz w:val="24"/>
          <w:szCs w:val="24"/>
          <w:lang w:eastAsia="zh-CN"/>
        </w:rPr>
        <w:t>。</w:t>
      </w:r>
    </w:p>
    <w:p>
      <w:pPr>
        <w:pStyle w:val="3"/>
        <w:spacing w:line="360" w:lineRule="auto"/>
        <w:ind w:firstLine="480" w:firstLineChars="200"/>
        <w:jc w:val="both"/>
        <w:rPr>
          <w:rFonts w:hAnsi="宋体"/>
          <w:sz w:val="24"/>
          <w:szCs w:val="24"/>
        </w:rPr>
      </w:pPr>
      <w:bookmarkStart w:id="0" w:name="_Toc4180"/>
      <w:bookmarkStart w:id="1" w:name="_Toc29991"/>
      <w:r>
        <w:rPr>
          <w:rFonts w:hint="eastAsia" w:hAnsi="宋体"/>
          <w:sz w:val="24"/>
          <w:szCs w:val="24"/>
        </w:rPr>
        <w:t>通过第一阶段污染识别及第二阶段采样测试分析等工作，本次</w:t>
      </w:r>
      <w:r>
        <w:rPr>
          <w:rFonts w:hint="eastAsia" w:hAnsi="宋体"/>
          <w:sz w:val="24"/>
          <w:szCs w:val="24"/>
          <w:lang w:eastAsia="zh-CN"/>
        </w:rPr>
        <w:t>河南经济贸易技师学院扩展地块</w:t>
      </w:r>
      <w:r>
        <w:rPr>
          <w:rFonts w:hint="eastAsia" w:hAnsi="宋体"/>
          <w:sz w:val="24"/>
          <w:szCs w:val="24"/>
        </w:rPr>
        <w:t>土壤污染状况初步调查</w:t>
      </w:r>
      <w:r>
        <w:rPr>
          <w:rFonts w:hint="eastAsia" w:hAnsi="宋体"/>
          <w:sz w:val="24"/>
          <w:szCs w:val="24"/>
          <w:lang w:val="en-US" w:eastAsia="zh-CN"/>
        </w:rPr>
        <w:t>结果表明，项目地块不属于污染地块，可用于</w:t>
      </w:r>
      <w:r>
        <w:rPr>
          <w:rFonts w:hint="eastAsia" w:hAnsi="宋体"/>
          <w:sz w:val="24"/>
          <w:szCs w:val="24"/>
          <w:lang w:eastAsia="zh-CN"/>
        </w:rPr>
        <w:t>教育科研用地的</w:t>
      </w:r>
      <w:bookmarkStart w:id="570" w:name="_GoBack"/>
      <w:bookmarkEnd w:id="570"/>
      <w:r>
        <w:rPr>
          <w:rFonts w:hint="eastAsia" w:hAnsi="宋体"/>
          <w:sz w:val="24"/>
          <w:szCs w:val="24"/>
        </w:rPr>
        <w:t>开发和利用。</w:t>
      </w: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rPr>
          <w:rFonts w:hint="eastAsia" w:ascii="Times New Roman" w:hAnsi="Times New Roman" w:eastAsia="黑体"/>
          <w:bCs/>
          <w:kern w:val="2"/>
          <w:szCs w:val="32"/>
        </w:rPr>
      </w:pPr>
    </w:p>
    <w:p>
      <w:pPr>
        <w:pStyle w:val="2"/>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p>
      <w:pPr>
        <w:pStyle w:val="3"/>
        <w:rPr>
          <w:rFonts w:hint="eastAsia" w:ascii="Times New Roman" w:hAnsi="Times New Roman" w:eastAsia="黑体"/>
          <w:bCs/>
          <w:kern w:val="2"/>
          <w:szCs w:val="32"/>
        </w:rPr>
      </w:pPr>
    </w:p>
    <w:sdt>
      <w:sdtPr>
        <w:rPr>
          <w:rFonts w:ascii="宋体" w:hAnsi="宋体" w:eastAsia="宋体" w:cs="Times New Roman"/>
          <w:kern w:val="2"/>
          <w:sz w:val="21"/>
          <w:szCs w:val="22"/>
          <w:lang w:val="en-US" w:eastAsia="zh-CN" w:bidi="ar-SA"/>
        </w:rPr>
        <w:id w:val="147452786"/>
        <w15:color w:val="DBDBDB"/>
        <w:docPartObj>
          <w:docPartGallery w:val="Table of Contents"/>
          <w:docPartUnique/>
        </w:docPartObj>
      </w:sdtPr>
      <w:sdtEndPr>
        <w:rPr>
          <w:rFonts w:hint="eastAsia" w:ascii="Times New Roman" w:hAnsi="Times New Roman" w:eastAsia="黑体" w:cs="Times New Roman"/>
          <w:b/>
          <w:bCs/>
          <w:kern w:val="2"/>
          <w:sz w:val="32"/>
          <w:szCs w:val="32"/>
          <w:lang w:val="en-US" w:eastAsia="zh-CN" w:bidi="ar-SA"/>
        </w:rPr>
      </w:sdtEndPr>
      <w:sdtContent>
        <w:p>
          <w:pPr>
            <w:spacing w:before="0" w:beforeLines="0" w:after="0" w:afterLines="0" w:line="240" w:lineRule="auto"/>
            <w:ind w:left="0" w:leftChars="0" w:right="0" w:rightChars="0" w:firstLine="0" w:firstLineChars="0"/>
            <w:jc w:val="center"/>
            <w:rPr>
              <w:rStyle w:val="19"/>
            </w:rPr>
          </w:pPr>
          <w:r>
            <w:rPr>
              <w:rStyle w:val="19"/>
            </w:rPr>
            <w:t>目</w:t>
          </w:r>
          <w:r>
            <w:rPr>
              <w:rStyle w:val="19"/>
              <w:rFonts w:hint="eastAsia"/>
              <w:lang w:val="en-US" w:eastAsia="zh-CN"/>
            </w:rPr>
            <w:t xml:space="preserve"> </w:t>
          </w:r>
          <w:r>
            <w:rPr>
              <w:rStyle w:val="19"/>
            </w:rPr>
            <w:t>录</w:t>
          </w:r>
        </w:p>
        <w:p>
          <w:pPr>
            <w:pStyle w:val="17"/>
            <w:tabs>
              <w:tab w:val="right" w:leader="dot" w:pos="8306"/>
            </w:tabs>
            <w:rPr>
              <w:rFonts w:hint="eastAsia" w:ascii="宋体" w:hAnsi="宋体" w:eastAsia="宋体" w:cs="宋体"/>
              <w:b/>
              <w:sz w:val="28"/>
              <w:szCs w:val="28"/>
            </w:rPr>
          </w:pPr>
          <w:r>
            <w:rPr>
              <w:rFonts w:hint="eastAsia" w:ascii="Times New Roman" w:hAnsi="Times New Roman" w:eastAsia="黑体"/>
              <w:bCs/>
              <w:kern w:val="2"/>
              <w:szCs w:val="32"/>
            </w:rPr>
            <w:fldChar w:fldCharType="begin"/>
          </w:r>
          <w:r>
            <w:rPr>
              <w:rFonts w:hint="eastAsia" w:ascii="Times New Roman" w:hAnsi="Times New Roman" w:eastAsia="黑体"/>
              <w:bCs/>
              <w:kern w:val="2"/>
              <w:szCs w:val="32"/>
            </w:rPr>
            <w:instrText xml:space="preserve">TOC \o "1-2" \h \u </w:instrText>
          </w:r>
          <w:r>
            <w:rPr>
              <w:rFonts w:hint="eastAsia" w:ascii="Times New Roman" w:hAnsi="Times New Roman" w:eastAsia="黑体"/>
              <w:bCs/>
              <w:kern w:val="2"/>
              <w:szCs w:val="32"/>
            </w:rPr>
            <w:fldChar w:fldCharType="separate"/>
          </w: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_Toc11908 </w:instrText>
          </w:r>
          <w:r>
            <w:rPr>
              <w:rFonts w:hint="eastAsia" w:ascii="宋体" w:hAnsi="宋体" w:eastAsia="宋体" w:cs="宋体"/>
              <w:b/>
              <w:bCs/>
              <w:kern w:val="2"/>
              <w:sz w:val="28"/>
              <w:szCs w:val="28"/>
            </w:rPr>
            <w:fldChar w:fldCharType="separate"/>
          </w:r>
          <w:r>
            <w:rPr>
              <w:rFonts w:hint="eastAsia" w:ascii="宋体" w:hAnsi="宋体" w:eastAsia="宋体" w:cs="宋体"/>
              <w:b/>
              <w:bCs/>
              <w:kern w:val="2"/>
              <w:sz w:val="28"/>
              <w:szCs w:val="28"/>
            </w:rPr>
            <w:t>1项目概述</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_Toc11908 </w:instrText>
          </w:r>
          <w:r>
            <w:rPr>
              <w:rFonts w:hint="eastAsia" w:ascii="宋体" w:hAnsi="宋体" w:eastAsia="宋体" w:cs="宋体"/>
              <w:b/>
              <w:sz w:val="28"/>
              <w:szCs w:val="28"/>
            </w:rPr>
            <w:fldChar w:fldCharType="separate"/>
          </w:r>
          <w:r>
            <w:rPr>
              <w:rFonts w:hint="eastAsia" w:ascii="宋体" w:hAnsi="宋体" w:eastAsia="宋体" w:cs="宋体"/>
              <w:b/>
              <w:sz w:val="28"/>
              <w:szCs w:val="28"/>
            </w:rPr>
            <w:t>7</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_Toc21990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1.1项目基本情况</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_Toc21990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_Toc12554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1.2项目背景</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_Toc12554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_Toc30129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1.3调查范围</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_Toc30129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_Toc1972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1.4调查目的</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_Toc1972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_Toc19253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1.5调查原则</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_Toc19253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_Toc19006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1.6工作依据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_Toc19006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both"/>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_Toc6372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1.7技术路线</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_Toc6372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rPr>
              <w:rFonts w:hint="eastAsia" w:ascii="宋体" w:hAnsi="宋体" w:eastAsia="宋体" w:cs="宋体"/>
              <w:b/>
              <w:sz w:val="28"/>
              <w:szCs w:val="28"/>
            </w:rPr>
          </w:pP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_Toc7265 </w:instrText>
          </w:r>
          <w:r>
            <w:rPr>
              <w:rFonts w:hint="eastAsia" w:ascii="宋体" w:hAnsi="宋体" w:eastAsia="宋体" w:cs="宋体"/>
              <w:b/>
              <w:bCs/>
              <w:kern w:val="2"/>
              <w:sz w:val="28"/>
              <w:szCs w:val="28"/>
            </w:rPr>
            <w:fldChar w:fldCharType="separate"/>
          </w:r>
          <w:r>
            <w:rPr>
              <w:rFonts w:hint="eastAsia" w:ascii="宋体" w:hAnsi="宋体" w:eastAsia="宋体" w:cs="宋体"/>
              <w:b/>
              <w:bCs/>
              <w:kern w:val="2"/>
              <w:sz w:val="28"/>
              <w:szCs w:val="28"/>
            </w:rPr>
            <w:t>2地块概况</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_Toc7265 </w:instrText>
          </w:r>
          <w:r>
            <w:rPr>
              <w:rFonts w:hint="eastAsia" w:ascii="宋体" w:hAnsi="宋体" w:eastAsia="宋体" w:cs="宋体"/>
              <w:b/>
              <w:sz w:val="28"/>
              <w:szCs w:val="28"/>
            </w:rPr>
            <w:fldChar w:fldCharType="separate"/>
          </w:r>
          <w:r>
            <w:rPr>
              <w:rFonts w:hint="eastAsia" w:ascii="宋体" w:hAnsi="宋体" w:eastAsia="宋体" w:cs="宋体"/>
              <w:b/>
              <w:sz w:val="28"/>
              <w:szCs w:val="28"/>
            </w:rPr>
            <w:t>13</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_Toc27827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2.1地块地理位置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_Toc27827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_Toc32064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2.2气象、水文</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_Toc32064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_Toc1218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2.3地形地貌</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_Toc1218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_Toc4963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2.4土壤和植被</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_Toc4963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_Toc1418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2.5水文地质条件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_Toc1418 </w:instrText>
          </w:r>
          <w:r>
            <w:rPr>
              <w:rFonts w:hint="eastAsia" w:ascii="宋体" w:hAnsi="宋体" w:eastAsia="宋体" w:cs="宋体"/>
              <w:sz w:val="28"/>
              <w:szCs w:val="28"/>
            </w:rPr>
            <w:fldChar w:fldCharType="separate"/>
          </w:r>
          <w:r>
            <w:rPr>
              <w:rFonts w:hint="eastAsia" w:ascii="宋体" w:hAnsi="宋体" w:eastAsia="宋体" w:cs="宋体"/>
              <w:sz w:val="28"/>
              <w:szCs w:val="28"/>
            </w:rPr>
            <w:t>15</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b/>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_Toc3342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2.6地块发展历程与规划</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_Toc3342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rPr>
              <w:rFonts w:hint="eastAsia" w:ascii="宋体" w:hAnsi="宋体" w:eastAsia="宋体" w:cs="宋体"/>
              <w:b/>
              <w:sz w:val="28"/>
              <w:szCs w:val="28"/>
            </w:rPr>
          </w:pP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_Toc27574 </w:instrText>
          </w:r>
          <w:r>
            <w:rPr>
              <w:rFonts w:hint="eastAsia" w:ascii="宋体" w:hAnsi="宋体" w:eastAsia="宋体" w:cs="宋体"/>
              <w:b/>
              <w:bCs/>
              <w:kern w:val="2"/>
              <w:sz w:val="28"/>
              <w:szCs w:val="28"/>
            </w:rPr>
            <w:fldChar w:fldCharType="separate"/>
          </w:r>
          <w:r>
            <w:rPr>
              <w:rFonts w:hint="eastAsia" w:ascii="宋体" w:hAnsi="宋体" w:eastAsia="宋体" w:cs="宋体"/>
              <w:b/>
              <w:bCs/>
              <w:sz w:val="28"/>
              <w:szCs w:val="28"/>
            </w:rPr>
            <w:t>3第一阶段污染识别</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_Toc27574 </w:instrText>
          </w:r>
          <w:r>
            <w:rPr>
              <w:rFonts w:hint="eastAsia" w:ascii="宋体" w:hAnsi="宋体" w:eastAsia="宋体" w:cs="宋体"/>
              <w:b/>
              <w:sz w:val="28"/>
              <w:szCs w:val="28"/>
            </w:rPr>
            <w:fldChar w:fldCharType="separate"/>
          </w:r>
          <w:r>
            <w:rPr>
              <w:rFonts w:hint="eastAsia" w:ascii="宋体" w:hAnsi="宋体" w:eastAsia="宋体" w:cs="宋体"/>
              <w:b/>
              <w:sz w:val="28"/>
              <w:szCs w:val="28"/>
            </w:rPr>
            <w:t>20</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_Toc25068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lang w:val="en-US" w:eastAsia="zh-CN" w:bidi="ar-SA"/>
            </w:rPr>
            <w:t>3.1人员访谈</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_Toc25068 </w:instrText>
          </w:r>
          <w:r>
            <w:rPr>
              <w:rFonts w:hint="eastAsia" w:ascii="宋体" w:hAnsi="宋体" w:eastAsia="宋体" w:cs="宋体"/>
              <w:sz w:val="28"/>
              <w:szCs w:val="28"/>
            </w:rPr>
            <w:fldChar w:fldCharType="separate"/>
          </w:r>
          <w:r>
            <w:rPr>
              <w:rFonts w:hint="eastAsia" w:ascii="宋体" w:hAnsi="宋体" w:eastAsia="宋体" w:cs="宋体"/>
              <w:sz w:val="28"/>
              <w:szCs w:val="28"/>
            </w:rPr>
            <w:t>20</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ind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fldChar w:fldCharType="begin"/>
          </w:r>
          <w:r>
            <w:rPr>
              <w:rFonts w:hint="eastAsia" w:ascii="宋体" w:hAnsi="宋体" w:eastAsia="宋体" w:cs="宋体"/>
              <w:kern w:val="0"/>
              <w:sz w:val="28"/>
              <w:szCs w:val="28"/>
              <w:lang w:val="en-US" w:eastAsia="zh-CN" w:bidi="ar-SA"/>
            </w:rPr>
            <w:instrText xml:space="preserve"> HYPERLINK \l _Toc17497 </w:instrText>
          </w:r>
          <w:r>
            <w:rPr>
              <w:rFonts w:hint="eastAsia" w:ascii="宋体" w:hAnsi="宋体" w:eastAsia="宋体" w:cs="宋体"/>
              <w:kern w:val="0"/>
              <w:sz w:val="28"/>
              <w:szCs w:val="28"/>
              <w:lang w:val="en-US" w:eastAsia="zh-CN" w:bidi="ar-SA"/>
            </w:rPr>
            <w:fldChar w:fldCharType="separate"/>
          </w:r>
          <w:r>
            <w:rPr>
              <w:rFonts w:hint="eastAsia" w:ascii="宋体" w:hAnsi="宋体" w:eastAsia="宋体" w:cs="宋体"/>
              <w:kern w:val="0"/>
              <w:sz w:val="28"/>
              <w:szCs w:val="28"/>
              <w:lang w:val="en-US" w:eastAsia="zh-CN" w:bidi="ar-SA"/>
            </w:rPr>
            <w:t>3.2现场踏勘</w:t>
          </w:r>
          <w:r>
            <w:rPr>
              <w:rFonts w:hint="eastAsia" w:ascii="宋体" w:hAnsi="宋体" w:eastAsia="宋体" w:cs="宋体"/>
              <w:kern w:val="0"/>
              <w:sz w:val="28"/>
              <w:szCs w:val="28"/>
              <w:lang w:val="en-US" w:eastAsia="zh-CN" w:bidi="ar-SA"/>
            </w:rPr>
            <w:tab/>
          </w:r>
          <w:r>
            <w:rPr>
              <w:rFonts w:hint="eastAsia" w:ascii="宋体" w:hAnsi="宋体" w:eastAsia="宋体" w:cs="宋体"/>
              <w:kern w:val="0"/>
              <w:sz w:val="28"/>
              <w:szCs w:val="28"/>
              <w:lang w:val="en-US" w:eastAsia="zh-CN" w:bidi="ar-SA"/>
            </w:rPr>
            <w:fldChar w:fldCharType="begin"/>
          </w:r>
          <w:r>
            <w:rPr>
              <w:rFonts w:hint="eastAsia" w:ascii="宋体" w:hAnsi="宋体" w:eastAsia="宋体" w:cs="宋体"/>
              <w:kern w:val="0"/>
              <w:sz w:val="28"/>
              <w:szCs w:val="28"/>
              <w:lang w:val="en-US" w:eastAsia="zh-CN" w:bidi="ar-SA"/>
            </w:rPr>
            <w:instrText xml:space="preserve"> PAGEREF _Toc17497 </w:instrText>
          </w:r>
          <w:r>
            <w:rPr>
              <w:rFonts w:hint="eastAsia" w:ascii="宋体" w:hAnsi="宋体" w:eastAsia="宋体" w:cs="宋体"/>
              <w:kern w:val="0"/>
              <w:sz w:val="28"/>
              <w:szCs w:val="28"/>
              <w:lang w:val="en-US" w:eastAsia="zh-CN" w:bidi="ar-SA"/>
            </w:rPr>
            <w:fldChar w:fldCharType="separate"/>
          </w:r>
          <w:r>
            <w:rPr>
              <w:rFonts w:hint="eastAsia" w:ascii="宋体" w:hAnsi="宋体" w:eastAsia="宋体" w:cs="宋体"/>
              <w:kern w:val="0"/>
              <w:sz w:val="28"/>
              <w:szCs w:val="28"/>
              <w:lang w:val="en-US" w:eastAsia="zh-CN" w:bidi="ar-SA"/>
            </w:rPr>
            <w:t>20</w:t>
          </w:r>
          <w:r>
            <w:rPr>
              <w:rFonts w:hint="eastAsia" w:ascii="宋体" w:hAnsi="宋体" w:eastAsia="宋体" w:cs="宋体"/>
              <w:kern w:val="0"/>
              <w:sz w:val="28"/>
              <w:szCs w:val="28"/>
              <w:lang w:val="en-US" w:eastAsia="zh-CN" w:bidi="ar-SA"/>
            </w:rPr>
            <w:fldChar w:fldCharType="end"/>
          </w:r>
          <w:r>
            <w:rPr>
              <w:rFonts w:hint="eastAsia" w:ascii="宋体" w:hAnsi="宋体" w:eastAsia="宋体" w:cs="宋体"/>
              <w:kern w:val="0"/>
              <w:sz w:val="28"/>
              <w:szCs w:val="28"/>
              <w:lang w:val="en-US" w:eastAsia="zh-CN" w:bidi="ar-SA"/>
            </w:rPr>
            <w:fldChar w:fldCharType="end"/>
          </w:r>
        </w:p>
        <w:p>
          <w:pPr>
            <w:pStyle w:val="17"/>
            <w:tabs>
              <w:tab w:val="right" w:leader="dot" w:pos="8306"/>
            </w:tabs>
            <w:ind w:firstLine="560" w:firstLineChars="200"/>
            <w:jc w:val="left"/>
            <w:rPr>
              <w:rFonts w:hint="eastAsia" w:ascii="宋体" w:hAnsi="宋体" w:eastAsia="宋体" w:cs="宋体"/>
              <w:kern w:val="0"/>
              <w:sz w:val="28"/>
              <w:szCs w:val="28"/>
              <w:lang w:val="en-US" w:eastAsia="zh-CN" w:bidi="ar-SA"/>
            </w:rPr>
          </w:pPr>
          <w:r>
            <w:rPr>
              <w:rFonts w:hint="eastAsia" w:ascii="宋体" w:hAnsi="宋体" w:eastAsia="宋体" w:cs="宋体"/>
              <w:kern w:val="0"/>
              <w:sz w:val="28"/>
              <w:szCs w:val="28"/>
              <w:lang w:val="en-US" w:eastAsia="zh-CN" w:bidi="ar-SA"/>
            </w:rPr>
            <w:fldChar w:fldCharType="begin"/>
          </w:r>
          <w:r>
            <w:rPr>
              <w:rFonts w:hint="eastAsia" w:ascii="宋体" w:hAnsi="宋体" w:eastAsia="宋体" w:cs="宋体"/>
              <w:kern w:val="0"/>
              <w:sz w:val="28"/>
              <w:szCs w:val="28"/>
              <w:lang w:val="en-US" w:eastAsia="zh-CN" w:bidi="ar-SA"/>
            </w:rPr>
            <w:instrText xml:space="preserve"> HYPERLINK \l _Toc20247 </w:instrText>
          </w:r>
          <w:r>
            <w:rPr>
              <w:rFonts w:hint="eastAsia" w:ascii="宋体" w:hAnsi="宋体" w:eastAsia="宋体" w:cs="宋体"/>
              <w:kern w:val="0"/>
              <w:sz w:val="28"/>
              <w:szCs w:val="28"/>
              <w:lang w:val="en-US" w:eastAsia="zh-CN" w:bidi="ar-SA"/>
            </w:rPr>
            <w:fldChar w:fldCharType="separate"/>
          </w:r>
          <w:r>
            <w:rPr>
              <w:rFonts w:hint="eastAsia" w:ascii="宋体" w:hAnsi="宋体" w:eastAsia="宋体" w:cs="宋体"/>
              <w:kern w:val="0"/>
              <w:sz w:val="28"/>
              <w:szCs w:val="28"/>
              <w:lang w:val="en-US" w:eastAsia="zh-CN" w:bidi="ar-SA"/>
            </w:rPr>
            <w:t>3.3地块现状</w:t>
          </w:r>
          <w:r>
            <w:rPr>
              <w:rFonts w:hint="eastAsia" w:ascii="宋体" w:hAnsi="宋体" w:eastAsia="宋体" w:cs="宋体"/>
              <w:kern w:val="0"/>
              <w:sz w:val="28"/>
              <w:szCs w:val="28"/>
              <w:lang w:val="en-US" w:eastAsia="zh-CN" w:bidi="ar-SA"/>
            </w:rPr>
            <w:tab/>
          </w:r>
          <w:r>
            <w:rPr>
              <w:rFonts w:hint="eastAsia" w:ascii="宋体" w:hAnsi="宋体" w:eastAsia="宋体" w:cs="宋体"/>
              <w:kern w:val="0"/>
              <w:sz w:val="28"/>
              <w:szCs w:val="28"/>
              <w:lang w:val="en-US" w:eastAsia="zh-CN" w:bidi="ar-SA"/>
            </w:rPr>
            <w:fldChar w:fldCharType="begin"/>
          </w:r>
          <w:r>
            <w:rPr>
              <w:rFonts w:hint="eastAsia" w:ascii="宋体" w:hAnsi="宋体" w:eastAsia="宋体" w:cs="宋体"/>
              <w:kern w:val="0"/>
              <w:sz w:val="28"/>
              <w:szCs w:val="28"/>
              <w:lang w:val="en-US" w:eastAsia="zh-CN" w:bidi="ar-SA"/>
            </w:rPr>
            <w:instrText xml:space="preserve"> PAGEREF _Toc20247 </w:instrText>
          </w:r>
          <w:r>
            <w:rPr>
              <w:rFonts w:hint="eastAsia" w:ascii="宋体" w:hAnsi="宋体" w:eastAsia="宋体" w:cs="宋体"/>
              <w:kern w:val="0"/>
              <w:sz w:val="28"/>
              <w:szCs w:val="28"/>
              <w:lang w:val="en-US" w:eastAsia="zh-CN" w:bidi="ar-SA"/>
            </w:rPr>
            <w:fldChar w:fldCharType="separate"/>
          </w:r>
          <w:r>
            <w:rPr>
              <w:rFonts w:hint="eastAsia" w:ascii="宋体" w:hAnsi="宋体" w:eastAsia="宋体" w:cs="宋体"/>
              <w:kern w:val="0"/>
              <w:sz w:val="28"/>
              <w:szCs w:val="28"/>
              <w:lang w:val="en-US" w:eastAsia="zh-CN" w:bidi="ar-SA"/>
            </w:rPr>
            <w:t>20</w:t>
          </w:r>
          <w:r>
            <w:rPr>
              <w:rFonts w:hint="eastAsia" w:ascii="宋体" w:hAnsi="宋体" w:eastAsia="宋体" w:cs="宋体"/>
              <w:kern w:val="0"/>
              <w:sz w:val="28"/>
              <w:szCs w:val="28"/>
              <w:lang w:val="en-US" w:eastAsia="zh-CN" w:bidi="ar-SA"/>
            </w:rPr>
            <w:fldChar w:fldCharType="end"/>
          </w:r>
          <w:r>
            <w:rPr>
              <w:rFonts w:hint="eastAsia" w:ascii="宋体" w:hAnsi="宋体" w:eastAsia="宋体" w:cs="宋体"/>
              <w:kern w:val="0"/>
              <w:sz w:val="28"/>
              <w:szCs w:val="28"/>
              <w:lang w:val="en-US" w:eastAsia="zh-CN" w:bidi="ar-SA"/>
            </w:rPr>
            <w:fldChar w:fldCharType="end"/>
          </w:r>
        </w:p>
        <w:p>
          <w:pPr>
            <w:pStyle w:val="17"/>
            <w:tabs>
              <w:tab w:val="right" w:leader="dot" w:pos="8306"/>
            </w:tabs>
            <w:ind w:firstLine="560" w:firstLineChars="200"/>
            <w:jc w:val="left"/>
            <w:rPr>
              <w:rFonts w:hint="eastAsia" w:ascii="宋体" w:hAnsi="宋体" w:eastAsia="宋体" w:cs="宋体"/>
              <w:b/>
              <w:sz w:val="28"/>
              <w:szCs w:val="28"/>
            </w:rPr>
          </w:pPr>
          <w:r>
            <w:rPr>
              <w:rFonts w:hint="eastAsia" w:ascii="宋体" w:hAnsi="宋体" w:eastAsia="宋体" w:cs="宋体"/>
              <w:kern w:val="0"/>
              <w:sz w:val="28"/>
              <w:szCs w:val="28"/>
              <w:lang w:val="en-US" w:eastAsia="zh-CN" w:bidi="ar-SA"/>
            </w:rPr>
            <w:fldChar w:fldCharType="begin"/>
          </w:r>
          <w:r>
            <w:rPr>
              <w:rFonts w:hint="eastAsia" w:ascii="宋体" w:hAnsi="宋体" w:eastAsia="宋体" w:cs="宋体"/>
              <w:kern w:val="0"/>
              <w:sz w:val="28"/>
              <w:szCs w:val="28"/>
              <w:lang w:val="en-US" w:eastAsia="zh-CN" w:bidi="ar-SA"/>
            </w:rPr>
            <w:instrText xml:space="preserve"> HYPERLINK \l _Toc21823 </w:instrText>
          </w:r>
          <w:r>
            <w:rPr>
              <w:rFonts w:hint="eastAsia" w:ascii="宋体" w:hAnsi="宋体" w:eastAsia="宋体" w:cs="宋体"/>
              <w:kern w:val="0"/>
              <w:sz w:val="28"/>
              <w:szCs w:val="28"/>
              <w:lang w:val="en-US" w:eastAsia="zh-CN" w:bidi="ar-SA"/>
            </w:rPr>
            <w:fldChar w:fldCharType="separate"/>
          </w:r>
          <w:r>
            <w:rPr>
              <w:rFonts w:hint="eastAsia" w:ascii="宋体" w:hAnsi="宋体" w:eastAsia="宋体" w:cs="宋体"/>
              <w:kern w:val="0"/>
              <w:sz w:val="28"/>
              <w:szCs w:val="28"/>
              <w:lang w:val="en-US" w:eastAsia="zh-CN" w:bidi="ar-SA"/>
            </w:rPr>
            <w:t>3.4地块周边敏感目标</w:t>
          </w:r>
          <w:r>
            <w:rPr>
              <w:rFonts w:hint="eastAsia" w:ascii="宋体" w:hAnsi="宋体" w:eastAsia="宋体" w:cs="宋体"/>
              <w:kern w:val="0"/>
              <w:sz w:val="28"/>
              <w:szCs w:val="28"/>
              <w:lang w:val="en-US" w:eastAsia="zh-CN" w:bidi="ar-SA"/>
            </w:rPr>
            <w:tab/>
          </w:r>
          <w:r>
            <w:rPr>
              <w:rFonts w:hint="eastAsia" w:ascii="宋体" w:hAnsi="宋体" w:eastAsia="宋体" w:cs="宋体"/>
              <w:kern w:val="0"/>
              <w:sz w:val="28"/>
              <w:szCs w:val="28"/>
              <w:lang w:val="en-US" w:eastAsia="zh-CN" w:bidi="ar-SA"/>
            </w:rPr>
            <w:fldChar w:fldCharType="begin"/>
          </w:r>
          <w:r>
            <w:rPr>
              <w:rFonts w:hint="eastAsia" w:ascii="宋体" w:hAnsi="宋体" w:eastAsia="宋体" w:cs="宋体"/>
              <w:kern w:val="0"/>
              <w:sz w:val="28"/>
              <w:szCs w:val="28"/>
              <w:lang w:val="en-US" w:eastAsia="zh-CN" w:bidi="ar-SA"/>
            </w:rPr>
            <w:instrText xml:space="preserve"> PAGEREF _Toc21823 </w:instrText>
          </w:r>
          <w:r>
            <w:rPr>
              <w:rFonts w:hint="eastAsia" w:ascii="宋体" w:hAnsi="宋体" w:eastAsia="宋体" w:cs="宋体"/>
              <w:kern w:val="0"/>
              <w:sz w:val="28"/>
              <w:szCs w:val="28"/>
              <w:lang w:val="en-US" w:eastAsia="zh-CN" w:bidi="ar-SA"/>
            </w:rPr>
            <w:fldChar w:fldCharType="separate"/>
          </w:r>
          <w:r>
            <w:rPr>
              <w:rFonts w:hint="eastAsia" w:ascii="宋体" w:hAnsi="宋体" w:eastAsia="宋体" w:cs="宋体"/>
              <w:kern w:val="0"/>
              <w:sz w:val="28"/>
              <w:szCs w:val="28"/>
              <w:lang w:val="en-US" w:eastAsia="zh-CN" w:bidi="ar-SA"/>
            </w:rPr>
            <w:t>21</w:t>
          </w:r>
          <w:r>
            <w:rPr>
              <w:rFonts w:hint="eastAsia" w:ascii="宋体" w:hAnsi="宋体" w:eastAsia="宋体" w:cs="宋体"/>
              <w:kern w:val="0"/>
              <w:sz w:val="28"/>
              <w:szCs w:val="28"/>
              <w:lang w:val="en-US" w:eastAsia="zh-CN" w:bidi="ar-SA"/>
            </w:rPr>
            <w:fldChar w:fldCharType="end"/>
          </w:r>
          <w:r>
            <w:rPr>
              <w:rFonts w:hint="eastAsia" w:ascii="宋体" w:hAnsi="宋体" w:eastAsia="宋体" w:cs="宋体"/>
              <w:kern w:val="0"/>
              <w:sz w:val="28"/>
              <w:szCs w:val="28"/>
              <w:lang w:val="en-US" w:eastAsia="zh-CN" w:bidi="ar-SA"/>
            </w:rPr>
            <w:fldChar w:fldCharType="end"/>
          </w:r>
        </w:p>
        <w:p>
          <w:pPr>
            <w:pStyle w:val="18"/>
            <w:tabs>
              <w:tab w:val="right" w:leader="dot" w:pos="8306"/>
            </w:tabs>
            <w:jc w:val="left"/>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_Toc23120 </w:instrText>
          </w:r>
          <w:r>
            <w:rPr>
              <w:rFonts w:hint="eastAsia" w:ascii="宋体" w:hAnsi="宋体" w:eastAsia="宋体" w:cs="宋体"/>
              <w:bCs/>
              <w:kern w:val="2"/>
              <w:sz w:val="28"/>
              <w:szCs w:val="28"/>
            </w:rPr>
            <w:fldChar w:fldCharType="separate"/>
          </w:r>
          <w:r>
            <w:rPr>
              <w:rFonts w:hint="eastAsia" w:ascii="宋体" w:hAnsi="宋体" w:eastAsia="宋体" w:cs="宋体"/>
              <w:bCs/>
              <w:sz w:val="28"/>
              <w:szCs w:val="28"/>
            </w:rPr>
            <w:t>3.</w:t>
          </w:r>
          <w:r>
            <w:rPr>
              <w:rFonts w:hint="eastAsia" w:ascii="宋体" w:hAnsi="宋体" w:eastAsia="宋体" w:cs="宋体"/>
              <w:bCs/>
              <w:sz w:val="28"/>
              <w:szCs w:val="28"/>
              <w:lang w:val="en-US" w:eastAsia="zh-CN"/>
            </w:rPr>
            <w:t>5</w:t>
          </w:r>
          <w:r>
            <w:rPr>
              <w:rFonts w:hint="eastAsia" w:ascii="宋体" w:hAnsi="宋体" w:eastAsia="宋体" w:cs="宋体"/>
              <w:bCs/>
              <w:sz w:val="28"/>
              <w:szCs w:val="28"/>
            </w:rPr>
            <w:t>污染物识别</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_Toc23120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jc w:val="left"/>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_Toc9335 </w:instrText>
          </w:r>
          <w:r>
            <w:rPr>
              <w:rFonts w:hint="eastAsia" w:ascii="宋体" w:hAnsi="宋体" w:eastAsia="宋体" w:cs="宋体"/>
              <w:bCs/>
              <w:kern w:val="2"/>
              <w:sz w:val="28"/>
              <w:szCs w:val="28"/>
            </w:rPr>
            <w:fldChar w:fldCharType="separate"/>
          </w:r>
          <w:r>
            <w:rPr>
              <w:rFonts w:hint="eastAsia" w:ascii="宋体" w:hAnsi="宋体" w:eastAsia="宋体" w:cs="宋体"/>
              <w:bCs/>
              <w:sz w:val="28"/>
              <w:szCs w:val="28"/>
            </w:rPr>
            <w:t>3.</w:t>
          </w:r>
          <w:r>
            <w:rPr>
              <w:rFonts w:hint="eastAsia" w:ascii="宋体" w:hAnsi="宋体" w:eastAsia="宋体" w:cs="宋体"/>
              <w:bCs/>
              <w:sz w:val="28"/>
              <w:szCs w:val="28"/>
              <w:lang w:val="en-US" w:eastAsia="zh-CN"/>
            </w:rPr>
            <w:t>6</w:t>
          </w:r>
          <w:r>
            <w:rPr>
              <w:rFonts w:hint="eastAsia" w:ascii="宋体" w:hAnsi="宋体" w:eastAsia="宋体" w:cs="宋体"/>
              <w:bCs/>
              <w:sz w:val="28"/>
              <w:szCs w:val="28"/>
            </w:rPr>
            <w:t>第一阶段地块土壤污染状况调查总结</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_Toc9335 </w:instrText>
          </w:r>
          <w:r>
            <w:rPr>
              <w:rFonts w:hint="eastAsia" w:ascii="宋体" w:hAnsi="宋体" w:eastAsia="宋体" w:cs="宋体"/>
              <w:sz w:val="28"/>
              <w:szCs w:val="28"/>
            </w:rPr>
            <w:fldChar w:fldCharType="separate"/>
          </w:r>
          <w:r>
            <w:rPr>
              <w:rFonts w:hint="eastAsia" w:ascii="宋体" w:hAnsi="宋体" w:eastAsia="宋体" w:cs="宋体"/>
              <w:sz w:val="28"/>
              <w:szCs w:val="28"/>
            </w:rPr>
            <w:t>21</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rPr>
              <w:rFonts w:hint="eastAsia" w:ascii="宋体" w:hAnsi="宋体" w:eastAsia="宋体" w:cs="宋体"/>
              <w:b/>
              <w:sz w:val="28"/>
              <w:szCs w:val="28"/>
            </w:rPr>
          </w:pP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_Toc6691 </w:instrText>
          </w:r>
          <w:r>
            <w:rPr>
              <w:rFonts w:hint="eastAsia" w:ascii="宋体" w:hAnsi="宋体" w:eastAsia="宋体" w:cs="宋体"/>
              <w:b/>
              <w:bCs/>
              <w:kern w:val="2"/>
              <w:sz w:val="28"/>
              <w:szCs w:val="28"/>
            </w:rPr>
            <w:fldChar w:fldCharType="separate"/>
          </w:r>
          <w:r>
            <w:rPr>
              <w:rFonts w:hint="eastAsia" w:ascii="宋体" w:hAnsi="宋体" w:eastAsia="宋体" w:cs="宋体"/>
              <w:b/>
              <w:bCs/>
              <w:sz w:val="28"/>
              <w:szCs w:val="28"/>
            </w:rPr>
            <w:t>4第二阶段采样分析</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_Toc6691 </w:instrText>
          </w:r>
          <w:r>
            <w:rPr>
              <w:rFonts w:hint="eastAsia" w:ascii="宋体" w:hAnsi="宋体" w:eastAsia="宋体" w:cs="宋体"/>
              <w:b/>
              <w:sz w:val="28"/>
              <w:szCs w:val="28"/>
            </w:rPr>
            <w:fldChar w:fldCharType="separate"/>
          </w:r>
          <w:r>
            <w:rPr>
              <w:rFonts w:hint="eastAsia" w:ascii="宋体" w:hAnsi="宋体" w:eastAsia="宋体" w:cs="宋体"/>
              <w:b/>
              <w:sz w:val="28"/>
              <w:szCs w:val="28"/>
            </w:rPr>
            <w:t>22</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18"/>
            <w:tabs>
              <w:tab w:val="right" w:leader="dot" w:pos="8306"/>
            </w:tabs>
            <w:rPr>
              <w:rFonts w:hint="eastAsia" w:ascii="宋体" w:hAnsi="宋体" w:eastAsia="宋体" w:cs="宋体"/>
              <w:b/>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_Toc23595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4.1布点工作</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_Toc23595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_Toc10395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4.2现场采样</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_Toc10395 </w:instrText>
          </w:r>
          <w:r>
            <w:rPr>
              <w:rFonts w:hint="eastAsia" w:ascii="宋体" w:hAnsi="宋体" w:eastAsia="宋体" w:cs="宋体"/>
              <w:sz w:val="28"/>
              <w:szCs w:val="28"/>
            </w:rPr>
            <w:fldChar w:fldCharType="separate"/>
          </w:r>
          <w:r>
            <w:rPr>
              <w:rFonts w:hint="eastAsia" w:ascii="宋体" w:hAnsi="宋体" w:eastAsia="宋体" w:cs="宋体"/>
              <w:sz w:val="28"/>
              <w:szCs w:val="28"/>
            </w:rPr>
            <w:t>25</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_Toc13785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4.3样品测试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_Toc13785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b/>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_Toc27372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4.4质量保证与质量控制</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_Toc27372 </w:instrText>
          </w:r>
          <w:r>
            <w:rPr>
              <w:rFonts w:hint="eastAsia" w:ascii="宋体" w:hAnsi="宋体" w:eastAsia="宋体" w:cs="宋体"/>
              <w:sz w:val="28"/>
              <w:szCs w:val="28"/>
            </w:rPr>
            <w:fldChar w:fldCharType="separate"/>
          </w:r>
          <w:r>
            <w:rPr>
              <w:rFonts w:hint="eastAsia" w:ascii="宋体" w:hAnsi="宋体" w:eastAsia="宋体" w:cs="宋体"/>
              <w:sz w:val="28"/>
              <w:szCs w:val="28"/>
            </w:rPr>
            <w:t>39</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rPr>
              <w:rFonts w:hint="eastAsia" w:ascii="宋体" w:hAnsi="宋体" w:eastAsia="宋体" w:cs="宋体"/>
              <w:b/>
              <w:sz w:val="28"/>
              <w:szCs w:val="28"/>
            </w:rPr>
          </w:pP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_Toc30305 </w:instrText>
          </w:r>
          <w:r>
            <w:rPr>
              <w:rFonts w:hint="eastAsia" w:ascii="宋体" w:hAnsi="宋体" w:eastAsia="宋体" w:cs="宋体"/>
              <w:b/>
              <w:bCs/>
              <w:kern w:val="2"/>
              <w:sz w:val="28"/>
              <w:szCs w:val="28"/>
            </w:rPr>
            <w:fldChar w:fldCharType="separate"/>
          </w:r>
          <w:r>
            <w:rPr>
              <w:rFonts w:hint="eastAsia" w:ascii="宋体" w:hAnsi="宋体" w:eastAsia="宋体" w:cs="宋体"/>
              <w:b/>
              <w:bCs/>
              <w:sz w:val="28"/>
              <w:szCs w:val="28"/>
            </w:rPr>
            <w:t>5测试结果分析</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_Toc30305 </w:instrText>
          </w:r>
          <w:r>
            <w:rPr>
              <w:rFonts w:hint="eastAsia" w:ascii="宋体" w:hAnsi="宋体" w:eastAsia="宋体" w:cs="宋体"/>
              <w:b/>
              <w:sz w:val="28"/>
              <w:szCs w:val="28"/>
            </w:rPr>
            <w:fldChar w:fldCharType="separate"/>
          </w:r>
          <w:r>
            <w:rPr>
              <w:rFonts w:hint="eastAsia" w:ascii="宋体" w:hAnsi="宋体" w:eastAsia="宋体" w:cs="宋体"/>
              <w:b/>
              <w:sz w:val="28"/>
              <w:szCs w:val="28"/>
            </w:rPr>
            <w:t>52</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_Toc30110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5.1筛选值的确定</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_Toc30110 </w:instrText>
          </w:r>
          <w:r>
            <w:rPr>
              <w:rFonts w:hint="eastAsia" w:ascii="宋体" w:hAnsi="宋体" w:eastAsia="宋体" w:cs="宋体"/>
              <w:sz w:val="28"/>
              <w:szCs w:val="28"/>
            </w:rPr>
            <w:fldChar w:fldCharType="separate"/>
          </w:r>
          <w:r>
            <w:rPr>
              <w:rFonts w:hint="eastAsia" w:ascii="宋体" w:hAnsi="宋体" w:eastAsia="宋体" w:cs="宋体"/>
              <w:sz w:val="28"/>
              <w:szCs w:val="28"/>
            </w:rPr>
            <w:t>52</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_Toc1836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5.2测试结果分析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_Toc1836 </w:instrText>
          </w:r>
          <w:r>
            <w:rPr>
              <w:rFonts w:hint="eastAsia" w:ascii="宋体" w:hAnsi="宋体" w:eastAsia="宋体" w:cs="宋体"/>
              <w:sz w:val="28"/>
              <w:szCs w:val="28"/>
            </w:rPr>
            <w:fldChar w:fldCharType="separate"/>
          </w:r>
          <w:r>
            <w:rPr>
              <w:rFonts w:hint="eastAsia" w:ascii="宋体" w:hAnsi="宋体" w:eastAsia="宋体" w:cs="宋体"/>
              <w:sz w:val="28"/>
              <w:szCs w:val="28"/>
            </w:rPr>
            <w:t>55</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_Toc16024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5.3不确定性分析</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_Toc16024 </w:instrText>
          </w:r>
          <w:r>
            <w:rPr>
              <w:rFonts w:hint="eastAsia" w:ascii="宋体" w:hAnsi="宋体" w:eastAsia="宋体" w:cs="宋体"/>
              <w:sz w:val="28"/>
              <w:szCs w:val="28"/>
            </w:rPr>
            <w:fldChar w:fldCharType="separate"/>
          </w:r>
          <w:r>
            <w:rPr>
              <w:rFonts w:hint="eastAsia" w:ascii="宋体" w:hAnsi="宋体" w:eastAsia="宋体" w:cs="宋体"/>
              <w:sz w:val="28"/>
              <w:szCs w:val="28"/>
            </w:rPr>
            <w:t>65</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rPr>
              <w:rFonts w:hint="eastAsia" w:ascii="宋体" w:hAnsi="宋体" w:eastAsia="宋体" w:cs="宋体"/>
              <w:b/>
              <w:sz w:val="28"/>
              <w:szCs w:val="28"/>
            </w:rPr>
          </w:pP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_Toc8278 </w:instrText>
          </w:r>
          <w:r>
            <w:rPr>
              <w:rFonts w:hint="eastAsia" w:ascii="宋体" w:hAnsi="宋体" w:eastAsia="宋体" w:cs="宋体"/>
              <w:b/>
              <w:bCs/>
              <w:kern w:val="2"/>
              <w:sz w:val="28"/>
              <w:szCs w:val="28"/>
            </w:rPr>
            <w:fldChar w:fldCharType="separate"/>
          </w:r>
          <w:r>
            <w:rPr>
              <w:rFonts w:hint="eastAsia" w:ascii="宋体" w:hAnsi="宋体" w:eastAsia="宋体" w:cs="宋体"/>
              <w:b/>
              <w:bCs/>
              <w:kern w:val="2"/>
              <w:sz w:val="28"/>
              <w:szCs w:val="28"/>
            </w:rPr>
            <w:t>6结论和建议</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_Toc8278 </w:instrText>
          </w:r>
          <w:r>
            <w:rPr>
              <w:rFonts w:hint="eastAsia" w:ascii="宋体" w:hAnsi="宋体" w:eastAsia="宋体" w:cs="宋体"/>
              <w:b/>
              <w:sz w:val="28"/>
              <w:szCs w:val="28"/>
            </w:rPr>
            <w:fldChar w:fldCharType="separate"/>
          </w:r>
          <w:r>
            <w:rPr>
              <w:rFonts w:hint="eastAsia" w:ascii="宋体" w:hAnsi="宋体" w:eastAsia="宋体" w:cs="宋体"/>
              <w:b/>
              <w:sz w:val="28"/>
              <w:szCs w:val="28"/>
            </w:rPr>
            <w:t>67</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_Toc31946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6.1结论</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_Toc31946 </w:instrText>
          </w:r>
          <w:r>
            <w:rPr>
              <w:rFonts w:hint="eastAsia" w:ascii="宋体" w:hAnsi="宋体" w:eastAsia="宋体" w:cs="宋体"/>
              <w:sz w:val="28"/>
              <w:szCs w:val="28"/>
            </w:rPr>
            <w:fldChar w:fldCharType="separate"/>
          </w:r>
          <w:r>
            <w:rPr>
              <w:rFonts w:hint="eastAsia" w:ascii="宋体" w:hAnsi="宋体" w:eastAsia="宋体" w:cs="宋体"/>
              <w:sz w:val="28"/>
              <w:szCs w:val="28"/>
            </w:rPr>
            <w:t>67</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8"/>
            <w:tabs>
              <w:tab w:val="right" w:leader="dot" w:pos="8306"/>
            </w:tabs>
            <w:rPr>
              <w:rFonts w:hint="eastAsia" w:ascii="宋体" w:hAnsi="宋体" w:eastAsia="宋体" w:cs="宋体"/>
              <w:sz w:val="28"/>
              <w:szCs w:val="28"/>
            </w:rPr>
          </w:pPr>
          <w:r>
            <w:rPr>
              <w:rFonts w:hint="eastAsia" w:ascii="宋体" w:hAnsi="宋体" w:eastAsia="宋体" w:cs="宋体"/>
              <w:bCs/>
              <w:kern w:val="2"/>
              <w:sz w:val="28"/>
              <w:szCs w:val="28"/>
            </w:rPr>
            <w:fldChar w:fldCharType="begin"/>
          </w:r>
          <w:r>
            <w:rPr>
              <w:rFonts w:hint="eastAsia" w:ascii="宋体" w:hAnsi="宋体" w:eastAsia="宋体" w:cs="宋体"/>
              <w:bCs/>
              <w:kern w:val="2"/>
              <w:sz w:val="28"/>
              <w:szCs w:val="28"/>
            </w:rPr>
            <w:instrText xml:space="preserve"> HYPERLINK \l _Toc4880 </w:instrText>
          </w:r>
          <w:r>
            <w:rPr>
              <w:rFonts w:hint="eastAsia" w:ascii="宋体" w:hAnsi="宋体" w:eastAsia="宋体" w:cs="宋体"/>
              <w:bCs/>
              <w:kern w:val="2"/>
              <w:sz w:val="28"/>
              <w:szCs w:val="28"/>
            </w:rPr>
            <w:fldChar w:fldCharType="separate"/>
          </w:r>
          <w:r>
            <w:rPr>
              <w:rFonts w:hint="eastAsia" w:ascii="宋体" w:hAnsi="宋体" w:eastAsia="宋体" w:cs="宋体"/>
              <w:kern w:val="0"/>
              <w:sz w:val="28"/>
              <w:szCs w:val="28"/>
            </w:rPr>
            <w:t>6.2建议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_Toc4880 </w:instrText>
          </w:r>
          <w:r>
            <w:rPr>
              <w:rFonts w:hint="eastAsia" w:ascii="宋体" w:hAnsi="宋体" w:eastAsia="宋体" w:cs="宋体"/>
              <w:sz w:val="28"/>
              <w:szCs w:val="28"/>
            </w:rPr>
            <w:fldChar w:fldCharType="separate"/>
          </w:r>
          <w:r>
            <w:rPr>
              <w:rFonts w:hint="eastAsia" w:ascii="宋体" w:hAnsi="宋体" w:eastAsia="宋体" w:cs="宋体"/>
              <w:sz w:val="28"/>
              <w:szCs w:val="28"/>
            </w:rPr>
            <w:t>67</w:t>
          </w:r>
          <w:r>
            <w:rPr>
              <w:rFonts w:hint="eastAsia" w:ascii="宋体" w:hAnsi="宋体" w:eastAsia="宋体" w:cs="宋体"/>
              <w:sz w:val="28"/>
              <w:szCs w:val="28"/>
            </w:rPr>
            <w:fldChar w:fldCharType="end"/>
          </w:r>
          <w:r>
            <w:rPr>
              <w:rFonts w:hint="eastAsia" w:ascii="宋体" w:hAnsi="宋体" w:eastAsia="宋体" w:cs="宋体"/>
              <w:bCs/>
              <w:kern w:val="2"/>
              <w:sz w:val="28"/>
              <w:szCs w:val="28"/>
            </w:rPr>
            <w:fldChar w:fldCharType="end"/>
          </w:r>
        </w:p>
        <w:p>
          <w:pPr>
            <w:pStyle w:val="17"/>
            <w:tabs>
              <w:tab w:val="right" w:leader="dot" w:pos="8306"/>
            </w:tabs>
            <w:rPr>
              <w:b/>
            </w:rPr>
          </w:pPr>
          <w:r>
            <w:rPr>
              <w:rFonts w:hint="eastAsia" w:ascii="宋体" w:hAnsi="宋体" w:eastAsia="宋体" w:cs="宋体"/>
              <w:b/>
              <w:bCs/>
              <w:kern w:val="2"/>
              <w:sz w:val="28"/>
              <w:szCs w:val="28"/>
            </w:rPr>
            <w:fldChar w:fldCharType="begin"/>
          </w:r>
          <w:r>
            <w:rPr>
              <w:rFonts w:hint="eastAsia" w:ascii="宋体" w:hAnsi="宋体" w:eastAsia="宋体" w:cs="宋体"/>
              <w:b/>
              <w:bCs/>
              <w:kern w:val="2"/>
              <w:sz w:val="28"/>
              <w:szCs w:val="28"/>
            </w:rPr>
            <w:instrText xml:space="preserve"> HYPERLINK \l _Toc3749 </w:instrText>
          </w:r>
          <w:r>
            <w:rPr>
              <w:rFonts w:hint="eastAsia" w:ascii="宋体" w:hAnsi="宋体" w:eastAsia="宋体" w:cs="宋体"/>
              <w:b/>
              <w:bCs/>
              <w:kern w:val="2"/>
              <w:sz w:val="28"/>
              <w:szCs w:val="28"/>
            </w:rPr>
            <w:fldChar w:fldCharType="separate"/>
          </w:r>
          <w:r>
            <w:rPr>
              <w:rFonts w:hint="eastAsia" w:ascii="宋体" w:hAnsi="宋体" w:eastAsia="宋体" w:cs="宋体"/>
              <w:b/>
              <w:bCs/>
              <w:sz w:val="28"/>
              <w:szCs w:val="28"/>
            </w:rPr>
            <w:t>附件</w:t>
          </w:r>
          <w:r>
            <w:rPr>
              <w:rFonts w:hint="eastAsia" w:ascii="宋体" w:hAnsi="宋体" w:eastAsia="宋体" w:cs="宋体"/>
              <w:b/>
              <w:sz w:val="28"/>
              <w:szCs w:val="28"/>
            </w:rPr>
            <w:tab/>
          </w:r>
          <w:r>
            <w:rPr>
              <w:rFonts w:hint="eastAsia" w:ascii="宋体" w:hAnsi="宋体" w:eastAsia="宋体" w:cs="宋体"/>
              <w:b/>
              <w:sz w:val="28"/>
              <w:szCs w:val="28"/>
            </w:rPr>
            <w:fldChar w:fldCharType="begin"/>
          </w:r>
          <w:r>
            <w:rPr>
              <w:rFonts w:hint="eastAsia" w:ascii="宋体" w:hAnsi="宋体" w:eastAsia="宋体" w:cs="宋体"/>
              <w:b/>
              <w:sz w:val="28"/>
              <w:szCs w:val="28"/>
            </w:rPr>
            <w:instrText xml:space="preserve"> PAGEREF _Toc3749 </w:instrText>
          </w:r>
          <w:r>
            <w:rPr>
              <w:rFonts w:hint="eastAsia" w:ascii="宋体" w:hAnsi="宋体" w:eastAsia="宋体" w:cs="宋体"/>
              <w:b/>
              <w:sz w:val="28"/>
              <w:szCs w:val="28"/>
            </w:rPr>
            <w:fldChar w:fldCharType="separate"/>
          </w:r>
          <w:r>
            <w:rPr>
              <w:rFonts w:hint="eastAsia" w:ascii="宋体" w:hAnsi="宋体" w:eastAsia="宋体" w:cs="宋体"/>
              <w:b/>
              <w:sz w:val="28"/>
              <w:szCs w:val="28"/>
            </w:rPr>
            <w:t>68</w:t>
          </w:r>
          <w:r>
            <w:rPr>
              <w:rFonts w:hint="eastAsia" w:ascii="宋体" w:hAnsi="宋体" w:eastAsia="宋体" w:cs="宋体"/>
              <w:b/>
              <w:sz w:val="28"/>
              <w:szCs w:val="28"/>
            </w:rPr>
            <w:fldChar w:fldCharType="end"/>
          </w:r>
          <w:r>
            <w:rPr>
              <w:rFonts w:hint="eastAsia" w:ascii="宋体" w:hAnsi="宋体" w:eastAsia="宋体" w:cs="宋体"/>
              <w:b/>
              <w:bCs/>
              <w:kern w:val="2"/>
              <w:sz w:val="28"/>
              <w:szCs w:val="28"/>
            </w:rPr>
            <w:fldChar w:fldCharType="end"/>
          </w:r>
        </w:p>
        <w:p>
          <w:pPr>
            <w:pStyle w:val="4"/>
            <w:keepNext w:val="0"/>
            <w:keepLines w:val="0"/>
            <w:spacing w:beforeLines="100" w:afterLines="100" w:line="360" w:lineRule="auto"/>
            <w:ind w:firstLine="0" w:firstLineChars="0"/>
            <w:contextualSpacing/>
            <w:jc w:val="center"/>
            <w:outlineLvl w:val="9"/>
          </w:pPr>
          <w:r>
            <w:rPr>
              <w:rFonts w:hint="eastAsia" w:ascii="Times New Roman" w:hAnsi="Times New Roman" w:eastAsia="黑体"/>
              <w:b/>
              <w:bCs/>
              <w:kern w:val="2"/>
              <w:szCs w:val="32"/>
            </w:rPr>
            <w:fldChar w:fldCharType="end"/>
          </w:r>
          <w:bookmarkStart w:id="2" w:name="_Toc11908"/>
        </w:p>
      </w:sdtContent>
    </w:sdt>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hint="eastAsia" w:ascii="Times New Roman" w:hAnsi="Times New Roman" w:eastAsia="黑体"/>
          <w:bCs/>
          <w:kern w:val="2"/>
          <w:szCs w:val="32"/>
        </w:rPr>
      </w:pPr>
    </w:p>
    <w:p>
      <w:pPr>
        <w:pStyle w:val="4"/>
        <w:keepNext w:val="0"/>
        <w:keepLines w:val="0"/>
        <w:spacing w:beforeLines="100" w:afterLines="100" w:line="360" w:lineRule="auto"/>
        <w:ind w:firstLine="0" w:firstLineChars="0"/>
        <w:contextualSpacing/>
        <w:jc w:val="center"/>
        <w:outlineLvl w:val="9"/>
        <w:rPr>
          <w:rFonts w:ascii="Times New Roman" w:hAnsi="Times New Roman" w:eastAsia="黑体"/>
          <w:bCs/>
          <w:kern w:val="2"/>
          <w:szCs w:val="32"/>
        </w:rPr>
      </w:pPr>
      <w:r>
        <w:rPr>
          <w:rFonts w:hint="eastAsia" w:ascii="Times New Roman" w:hAnsi="Times New Roman" w:eastAsia="黑体"/>
          <w:bCs/>
          <w:kern w:val="2"/>
          <w:szCs w:val="32"/>
        </w:rPr>
        <w:t>1项目概述</w:t>
      </w:r>
      <w:bookmarkEnd w:id="0"/>
      <w:bookmarkEnd w:id="1"/>
      <w:bookmarkEnd w:id="2"/>
    </w:p>
    <w:p>
      <w:pPr>
        <w:pStyle w:val="5"/>
        <w:keepNext w:val="0"/>
        <w:keepLines w:val="0"/>
        <w:widowControl/>
        <w:spacing w:line="360" w:lineRule="auto"/>
        <w:contextualSpacing/>
        <w:jc w:val="left"/>
        <w:outlineLvl w:val="0"/>
        <w:rPr>
          <w:rFonts w:ascii="Times New Roman" w:hAnsi="Times New Roman"/>
          <w:b/>
          <w:kern w:val="0"/>
          <w:sz w:val="28"/>
          <w:szCs w:val="26"/>
        </w:rPr>
      </w:pPr>
      <w:bookmarkStart w:id="3" w:name="_Toc211"/>
      <w:bookmarkStart w:id="4" w:name="_Toc27577049"/>
      <w:bookmarkStart w:id="5" w:name="_Toc2276"/>
      <w:bookmarkStart w:id="6" w:name="_Toc5184"/>
      <w:bookmarkStart w:id="7" w:name="_Toc16346"/>
      <w:bookmarkStart w:id="8" w:name="_Toc23630364"/>
      <w:bookmarkStart w:id="9" w:name="_Toc1139"/>
      <w:bookmarkStart w:id="10" w:name="_Toc21990"/>
      <w:bookmarkStart w:id="11" w:name="_Toc9224"/>
      <w:bookmarkStart w:id="12" w:name="_Toc12811"/>
      <w:bookmarkStart w:id="13" w:name="_Toc6049946"/>
      <w:r>
        <w:rPr>
          <w:rFonts w:hint="eastAsia" w:ascii="Times New Roman" w:hAnsi="Times New Roman"/>
          <w:b/>
          <w:kern w:val="0"/>
          <w:sz w:val="28"/>
          <w:szCs w:val="26"/>
        </w:rPr>
        <w:t>1.1项目基本情况</w:t>
      </w:r>
      <w:bookmarkEnd w:id="3"/>
      <w:bookmarkEnd w:id="4"/>
      <w:bookmarkEnd w:id="5"/>
      <w:bookmarkEnd w:id="6"/>
      <w:bookmarkEnd w:id="7"/>
      <w:bookmarkEnd w:id="8"/>
      <w:bookmarkEnd w:id="9"/>
      <w:bookmarkEnd w:id="10"/>
      <w:bookmarkEnd w:id="11"/>
      <w:bookmarkEnd w:id="12"/>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项目名称：</w:t>
      </w:r>
      <w:r>
        <w:rPr>
          <w:rFonts w:hint="eastAsia" w:hAnsi="宋体"/>
          <w:sz w:val="24"/>
          <w:szCs w:val="24"/>
          <w:lang w:eastAsia="zh-CN"/>
        </w:rPr>
        <w:t>河南经济贸易技师学院扩建项目地块</w:t>
      </w:r>
      <w:r>
        <w:rPr>
          <w:rFonts w:hint="default" w:ascii="Times New Roman" w:hAnsi="Times New Roman" w:cs="Times New Roman"/>
          <w:sz w:val="24"/>
          <w:szCs w:val="24"/>
        </w:rPr>
        <w:t>土壤污染状况初步调查报告</w:t>
      </w:r>
    </w:p>
    <w:p>
      <w:pPr>
        <w:widowControl/>
        <w:spacing w:line="360" w:lineRule="auto"/>
        <w:ind w:firstLine="480" w:firstLineChars="200"/>
        <w:jc w:val="left"/>
        <w:rPr>
          <w:rFonts w:hint="default" w:ascii="Times New Roman" w:hAnsi="Times New Roman" w:cs="Times New Roman"/>
          <w:sz w:val="24"/>
          <w:szCs w:val="24"/>
        </w:rPr>
      </w:pPr>
      <w:r>
        <w:rPr>
          <w:rFonts w:hint="eastAsia" w:ascii="Times New Roman" w:hAnsi="Times New Roman" w:cs="Times New Roman"/>
          <w:sz w:val="24"/>
          <w:szCs w:val="24"/>
          <w:lang w:eastAsia="zh-CN"/>
        </w:rPr>
        <w:t>提交</w:t>
      </w:r>
      <w:r>
        <w:rPr>
          <w:rFonts w:hint="default" w:ascii="Times New Roman" w:hAnsi="Times New Roman" w:cs="Times New Roman"/>
          <w:sz w:val="24"/>
          <w:szCs w:val="24"/>
        </w:rPr>
        <w:t>单位：</w:t>
      </w:r>
      <w:r>
        <w:rPr>
          <w:rFonts w:hint="eastAsia" w:hAnsi="宋体"/>
          <w:sz w:val="24"/>
          <w:szCs w:val="24"/>
          <w:lang w:eastAsia="zh-CN"/>
        </w:rPr>
        <w:t>河南经济贸易技师学校</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承担单位：河南睿嘉环保科技有限责任公司</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项目地点：</w:t>
      </w:r>
      <w:r>
        <w:rPr>
          <w:rFonts w:hint="eastAsia" w:hAnsi="宋体"/>
          <w:sz w:val="24"/>
          <w:szCs w:val="24"/>
          <w:lang w:eastAsia="zh-CN"/>
        </w:rPr>
        <w:t>河南经济贸易技师学校北</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工作起止时间：2020年</w:t>
      </w:r>
      <w:r>
        <w:rPr>
          <w:rFonts w:hint="eastAsia" w:ascii="Times New Roman" w:hAnsi="Times New Roman" w:cs="Times New Roman"/>
          <w:sz w:val="24"/>
          <w:szCs w:val="24"/>
          <w:lang w:val="en-US" w:eastAsia="zh-CN"/>
        </w:rPr>
        <w:t>10</w:t>
      </w:r>
      <w:r>
        <w:rPr>
          <w:rFonts w:hint="default" w:ascii="Times New Roman" w:hAnsi="Times New Roman" w:cs="Times New Roman"/>
          <w:sz w:val="24"/>
          <w:szCs w:val="24"/>
        </w:rPr>
        <w:t>月—2020年</w:t>
      </w:r>
      <w:r>
        <w:rPr>
          <w:rFonts w:hint="eastAsia" w:ascii="Times New Roman" w:hAnsi="Times New Roman" w:cs="Times New Roman"/>
          <w:sz w:val="24"/>
          <w:szCs w:val="24"/>
          <w:lang w:val="en-US" w:eastAsia="zh-CN"/>
        </w:rPr>
        <w:t>11</w:t>
      </w:r>
      <w:r>
        <w:rPr>
          <w:rFonts w:hint="default" w:ascii="Times New Roman" w:hAnsi="Times New Roman" w:cs="Times New Roman"/>
          <w:sz w:val="24"/>
          <w:szCs w:val="24"/>
        </w:rPr>
        <w:t>月</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4" w:name="_Toc23630365"/>
      <w:bookmarkStart w:id="15" w:name="_Toc1250"/>
      <w:bookmarkStart w:id="16" w:name="_Toc19453"/>
      <w:bookmarkStart w:id="17" w:name="_Toc403"/>
      <w:bookmarkStart w:id="18" w:name="_Toc27577050"/>
      <w:bookmarkStart w:id="19" w:name="_Toc15953"/>
      <w:bookmarkStart w:id="20" w:name="_Toc9422"/>
      <w:bookmarkStart w:id="21" w:name="_Toc30245"/>
      <w:bookmarkStart w:id="22" w:name="_Toc1359"/>
      <w:bookmarkStart w:id="23" w:name="_Toc12554"/>
      <w:r>
        <w:rPr>
          <w:rFonts w:hint="default" w:ascii="Times New Roman" w:hAnsi="Times New Roman" w:cs="Times New Roman"/>
          <w:b/>
          <w:kern w:val="0"/>
          <w:sz w:val="28"/>
          <w:szCs w:val="26"/>
        </w:rPr>
        <w:t>1.2项目背景</w:t>
      </w:r>
      <w:bookmarkEnd w:id="14"/>
      <w:bookmarkEnd w:id="15"/>
      <w:bookmarkEnd w:id="16"/>
      <w:bookmarkEnd w:id="17"/>
      <w:bookmarkEnd w:id="18"/>
      <w:bookmarkEnd w:id="19"/>
      <w:bookmarkEnd w:id="20"/>
      <w:bookmarkEnd w:id="21"/>
      <w:bookmarkEnd w:id="22"/>
      <w:bookmarkEnd w:id="23"/>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中华人民共和国土壤污染防治法》（2019.1.1），《污染地块土壤环境管理办法（试行）》（环境保护部令第42号，2016）、《河南省污染地块土壤环境管理办法（试行）》（豫环文[2018]243号）相关要求和相关规定，</w:t>
      </w:r>
      <w:r>
        <w:rPr>
          <w:rFonts w:hint="eastAsia" w:hAnsi="宋体"/>
          <w:sz w:val="24"/>
          <w:szCs w:val="24"/>
          <w:lang w:eastAsia="zh-CN"/>
        </w:rPr>
        <w:t>河南经济贸易技师学校扩建项目</w:t>
      </w:r>
      <w:r>
        <w:rPr>
          <w:rFonts w:hint="default" w:ascii="Times New Roman" w:hAnsi="Times New Roman" w:cs="Times New Roman"/>
          <w:sz w:val="24"/>
          <w:szCs w:val="24"/>
        </w:rPr>
        <w:t>地块</w:t>
      </w:r>
      <w:r>
        <w:rPr>
          <w:rFonts w:hint="eastAsia" w:ascii="Times New Roman" w:hAnsi="Times New Roman" w:cs="Times New Roman"/>
          <w:sz w:val="24"/>
          <w:szCs w:val="24"/>
          <w:lang w:val="en-US" w:eastAsia="zh-CN"/>
        </w:rPr>
        <w:t>16498.32m</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rPr>
        <w:t>征用地</w:t>
      </w:r>
      <w:r>
        <w:rPr>
          <w:rFonts w:hint="default" w:ascii="Times New Roman" w:hAnsi="Times New Roman" w:cs="Times New Roman"/>
          <w:color w:val="auto"/>
          <w:sz w:val="24"/>
          <w:szCs w:val="24"/>
        </w:rPr>
        <w:t>为</w:t>
      </w:r>
      <w:r>
        <w:rPr>
          <w:rFonts w:hint="default" w:ascii="Times New Roman" w:hAnsi="Times New Roman" w:cs="Times New Roman"/>
          <w:color w:val="auto"/>
          <w:sz w:val="24"/>
          <w:szCs w:val="24"/>
          <w:lang w:val="en-US" w:eastAsia="zh-CN"/>
        </w:rPr>
        <w:t>规划</w:t>
      </w:r>
      <w:r>
        <w:rPr>
          <w:rFonts w:hint="eastAsia" w:ascii="Times New Roman" w:hAnsi="Times New Roman" w:cs="Times New Roman"/>
          <w:color w:val="auto"/>
          <w:sz w:val="24"/>
          <w:szCs w:val="24"/>
          <w:lang w:val="en-US" w:eastAsia="zh-CN"/>
        </w:rPr>
        <w:t>教育科研用地</w:t>
      </w:r>
      <w:r>
        <w:rPr>
          <w:rFonts w:hint="default" w:ascii="Times New Roman" w:hAnsi="Times New Roman" w:cs="Times New Roman"/>
          <w:color w:val="auto"/>
          <w:sz w:val="24"/>
          <w:szCs w:val="24"/>
        </w:rPr>
        <w:t>，</w:t>
      </w:r>
      <w:r>
        <w:rPr>
          <w:rFonts w:hint="default" w:ascii="Times New Roman" w:hAnsi="Times New Roman" w:cs="Times New Roman"/>
          <w:sz w:val="24"/>
          <w:szCs w:val="24"/>
        </w:rPr>
        <w:t>该</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土地使用权人应当按照上述法规、办法的规定，负责开展</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土壤环境初步调查。土壤环境初步调查应当按照国家有关环境标准和技术规范开展，调查报告应当包括地块基本信息、</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是否为污染地块的明确结论等主要内容，并附具采样信息和检测报告。</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为贯彻落实《土壤污染防治行动计划》（国发〔2016〕31号）、《河南省清洁土壤行动计划》（豫政〔2017〕13号）、《环境污染防治攻坚战三年行动实施方案（2018—2020年）》等文件要求，做好土壤防治污染工作，按照省厅统一部署需委托第三方技术单位对</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开展土壤调查。</w:t>
      </w:r>
    </w:p>
    <w:p>
      <w:pPr>
        <w:widowControl/>
        <w:spacing w:line="360" w:lineRule="auto"/>
        <w:ind w:firstLine="480" w:firstLineChars="200"/>
        <w:jc w:val="left"/>
        <w:rPr>
          <w:rFonts w:hint="default" w:ascii="Times New Roman" w:hAnsi="Times New Roman" w:cs="Times New Roman"/>
          <w:sz w:val="24"/>
          <w:szCs w:val="24"/>
        </w:rPr>
      </w:pPr>
      <w:r>
        <w:rPr>
          <w:rFonts w:hint="eastAsia" w:hAnsi="宋体"/>
          <w:sz w:val="24"/>
          <w:szCs w:val="24"/>
          <w:lang w:eastAsia="zh-CN"/>
        </w:rPr>
        <w:t>河南经济贸易技师学校北</w:t>
      </w:r>
      <w:r>
        <w:rPr>
          <w:rFonts w:hint="default" w:ascii="Times New Roman" w:hAnsi="Times New Roman" w:cs="Times New Roman"/>
          <w:sz w:val="24"/>
          <w:szCs w:val="24"/>
        </w:rPr>
        <w:t>，从2005年始至今，</w:t>
      </w:r>
      <w:r>
        <w:rPr>
          <w:rFonts w:hint="default" w:ascii="Times New Roman" w:hAnsi="Times New Roman" w:cs="Times New Roman"/>
          <w:color w:val="auto"/>
          <w:sz w:val="24"/>
          <w:szCs w:val="24"/>
        </w:rPr>
        <w:t>为农业</w:t>
      </w:r>
      <w:r>
        <w:rPr>
          <w:rFonts w:hint="default" w:ascii="Times New Roman" w:hAnsi="Times New Roman" w:cs="Times New Roman"/>
          <w:color w:val="auto"/>
          <w:sz w:val="24"/>
          <w:szCs w:val="24"/>
          <w:lang w:val="en-US" w:eastAsia="zh-CN"/>
        </w:rPr>
        <w:t>种植</w:t>
      </w:r>
      <w:r>
        <w:rPr>
          <w:rFonts w:hint="default" w:ascii="Times New Roman" w:hAnsi="Times New Roman" w:cs="Times New Roman"/>
          <w:color w:val="auto"/>
          <w:sz w:val="24"/>
          <w:szCs w:val="24"/>
        </w:rPr>
        <w:t>用地</w:t>
      </w:r>
      <w:r>
        <w:rPr>
          <w:rFonts w:hint="default" w:ascii="Times New Roman" w:hAnsi="Times New Roman" w:cs="Times New Roman"/>
          <w:color w:val="auto"/>
          <w:sz w:val="24"/>
          <w:szCs w:val="24"/>
          <w:lang w:val="en-US" w:eastAsia="zh-CN"/>
        </w:rPr>
        <w:t>后闲置</w:t>
      </w:r>
      <w:r>
        <w:rPr>
          <w:rFonts w:hint="default" w:ascii="Times New Roman" w:hAnsi="Times New Roman" w:cs="Times New Roman"/>
          <w:sz w:val="24"/>
          <w:szCs w:val="24"/>
        </w:rPr>
        <w:t>。受</w:t>
      </w:r>
      <w:r>
        <w:rPr>
          <w:rFonts w:hint="eastAsia" w:hAnsi="宋体"/>
          <w:sz w:val="24"/>
          <w:szCs w:val="24"/>
          <w:lang w:eastAsia="zh-CN"/>
        </w:rPr>
        <w:t>河南经济贸易技师学校</w:t>
      </w:r>
      <w:r>
        <w:rPr>
          <w:rFonts w:hint="default" w:ascii="Times New Roman" w:hAnsi="Times New Roman" w:cs="Times New Roman"/>
          <w:sz w:val="24"/>
          <w:szCs w:val="24"/>
        </w:rPr>
        <w:t>委托，河南睿嘉环保科技有限责任公司承担了</w:t>
      </w:r>
      <w:r>
        <w:rPr>
          <w:rFonts w:hint="eastAsia" w:hAnsi="宋体"/>
          <w:sz w:val="24"/>
          <w:szCs w:val="24"/>
          <w:lang w:eastAsia="zh-CN"/>
        </w:rPr>
        <w:t>河南经济贸易技师学校扩展地块</w:t>
      </w:r>
      <w:r>
        <w:rPr>
          <w:rFonts w:hint="default" w:ascii="Times New Roman" w:hAnsi="Times New Roman" w:cs="Times New Roman"/>
          <w:sz w:val="24"/>
          <w:szCs w:val="24"/>
        </w:rPr>
        <w:t>土壤污染状况初步调查任务。我司接受委托后，立即组织相关专业技术人员对该</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开展了实地踏勘、资料收集、人员访谈及分析等工作，并在此基础上编制了</w:t>
      </w:r>
      <w:r>
        <w:rPr>
          <w:rFonts w:hint="eastAsia" w:hAnsi="宋体"/>
          <w:sz w:val="24"/>
          <w:szCs w:val="24"/>
          <w:lang w:eastAsia="zh-CN"/>
        </w:rPr>
        <w:t>河南经济贸易技师学校扩展地块</w:t>
      </w:r>
      <w:r>
        <w:rPr>
          <w:rFonts w:hint="default" w:ascii="Times New Roman" w:hAnsi="Times New Roman" w:cs="Times New Roman"/>
          <w:sz w:val="24"/>
          <w:szCs w:val="24"/>
        </w:rPr>
        <w:t>土壤污染状况初步调查报告。</w:t>
      </w:r>
      <w:bookmarkEnd w:id="13"/>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24" w:name="_Toc11557"/>
      <w:bookmarkStart w:id="25" w:name="_Toc30551"/>
      <w:bookmarkStart w:id="26" w:name="_Toc14880"/>
      <w:bookmarkStart w:id="27" w:name="_Toc28597"/>
      <w:bookmarkStart w:id="28" w:name="_Toc30129"/>
      <w:bookmarkStart w:id="29" w:name="_Toc26433"/>
      <w:bookmarkStart w:id="30" w:name="_Toc7913"/>
      <w:bookmarkStart w:id="31" w:name="_Toc27577051"/>
      <w:bookmarkStart w:id="32" w:name="_Toc26386"/>
      <w:r>
        <w:rPr>
          <w:rFonts w:hint="default" w:ascii="Times New Roman" w:hAnsi="Times New Roman" w:cs="Times New Roman"/>
          <w:b/>
          <w:kern w:val="0"/>
          <w:sz w:val="28"/>
          <w:szCs w:val="26"/>
        </w:rPr>
        <w:t>1.3调查范围</w:t>
      </w:r>
      <w:bookmarkEnd w:id="24"/>
      <w:bookmarkEnd w:id="25"/>
      <w:bookmarkEnd w:id="26"/>
      <w:bookmarkEnd w:id="27"/>
      <w:bookmarkEnd w:id="28"/>
      <w:bookmarkEnd w:id="29"/>
      <w:bookmarkEnd w:id="30"/>
      <w:bookmarkEnd w:id="31"/>
      <w:bookmarkEnd w:id="32"/>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该地块位于</w:t>
      </w:r>
      <w:r>
        <w:rPr>
          <w:rFonts w:hint="eastAsia" w:ascii="Times New Roman" w:hAnsi="Times New Roman" w:cs="Times New Roman"/>
          <w:sz w:val="24"/>
          <w:szCs w:val="24"/>
          <w:lang w:eastAsia="zh-CN"/>
        </w:rPr>
        <w:t>卫滨</w:t>
      </w:r>
      <w:r>
        <w:rPr>
          <w:rFonts w:hint="default" w:ascii="Times New Roman" w:hAnsi="Times New Roman" w:cs="Times New Roman"/>
          <w:sz w:val="24"/>
          <w:szCs w:val="24"/>
        </w:rPr>
        <w:t>区，从2005年始至今地块为农业用地，该地块北</w:t>
      </w:r>
      <w:r>
        <w:rPr>
          <w:rFonts w:hint="eastAsia" w:ascii="Times New Roman" w:hAnsi="Times New Roman" w:cs="Times New Roman"/>
          <w:sz w:val="24"/>
          <w:szCs w:val="24"/>
          <w:lang w:eastAsia="zh-CN"/>
        </w:rPr>
        <w:t>为规划路</w:t>
      </w:r>
      <w:r>
        <w:rPr>
          <w:rFonts w:hint="default" w:ascii="Times New Roman" w:hAnsi="Times New Roman" w:cs="Times New Roman"/>
          <w:sz w:val="24"/>
          <w:szCs w:val="24"/>
        </w:rPr>
        <w:t>，南为</w:t>
      </w:r>
      <w:r>
        <w:rPr>
          <w:rFonts w:hint="eastAsia" w:ascii="Times New Roman" w:hAnsi="Times New Roman" w:cs="Times New Roman"/>
          <w:sz w:val="24"/>
          <w:szCs w:val="24"/>
          <w:lang w:eastAsia="zh-CN"/>
        </w:rPr>
        <w:t>河南经济贸易技师学校，西为西台头村集体土地，东为劳动南街</w:t>
      </w:r>
      <w:r>
        <w:rPr>
          <w:rFonts w:hint="default" w:ascii="Times New Roman" w:hAnsi="Times New Roman" w:cs="Times New Roman"/>
          <w:sz w:val="24"/>
          <w:szCs w:val="24"/>
        </w:rPr>
        <w:t>。地块整体为</w:t>
      </w:r>
      <w:r>
        <w:rPr>
          <w:rFonts w:hint="eastAsia" w:ascii="Times New Roman" w:hAnsi="Times New Roman" w:cs="Times New Roman"/>
          <w:sz w:val="24"/>
          <w:szCs w:val="24"/>
          <w:lang w:eastAsia="zh-CN"/>
        </w:rPr>
        <w:t>五边形</w:t>
      </w:r>
      <w:r>
        <w:rPr>
          <w:rFonts w:hint="default" w:ascii="Times New Roman" w:hAnsi="Times New Roman" w:cs="Times New Roman"/>
          <w:sz w:val="24"/>
          <w:szCs w:val="24"/>
        </w:rPr>
        <w:t>，J1J2长为</w:t>
      </w:r>
      <w:r>
        <w:rPr>
          <w:snapToGrid w:val="0"/>
          <w:kern w:val="0"/>
          <w:sz w:val="24"/>
        </w:rPr>
        <w:t>265.57</w:t>
      </w:r>
      <w:r>
        <w:rPr>
          <w:rFonts w:hint="eastAsia"/>
          <w:snapToGrid w:val="0"/>
          <w:kern w:val="0"/>
          <w:sz w:val="24"/>
          <w:lang w:val="en-US" w:eastAsia="zh-CN"/>
        </w:rPr>
        <w:t>m</w:t>
      </w:r>
      <w:r>
        <w:rPr>
          <w:rFonts w:hint="default" w:ascii="Times New Roman" w:hAnsi="Times New Roman" w:cs="Times New Roman"/>
          <w:sz w:val="24"/>
          <w:szCs w:val="24"/>
        </w:rPr>
        <w:t>，J2J3长为</w:t>
      </w:r>
      <w:r>
        <w:rPr>
          <w:snapToGrid w:val="0"/>
          <w:kern w:val="0"/>
          <w:sz w:val="24"/>
        </w:rPr>
        <w:t>11.85</w:t>
      </w:r>
      <w:r>
        <w:rPr>
          <w:rFonts w:hint="eastAsia"/>
          <w:snapToGrid w:val="0"/>
          <w:kern w:val="0"/>
          <w:sz w:val="24"/>
          <w:lang w:val="en-US" w:eastAsia="zh-CN"/>
        </w:rPr>
        <w:t>m</w:t>
      </w:r>
      <w:r>
        <w:rPr>
          <w:rFonts w:hint="default" w:ascii="Times New Roman" w:hAnsi="Times New Roman" w:cs="Times New Roman"/>
          <w:sz w:val="24"/>
          <w:szCs w:val="24"/>
        </w:rPr>
        <w:t>，J3J4长为</w:t>
      </w:r>
      <w:r>
        <w:rPr>
          <w:snapToGrid w:val="0"/>
          <w:kern w:val="0"/>
          <w:sz w:val="24"/>
        </w:rPr>
        <w:t>36.92</w:t>
      </w:r>
      <w:r>
        <w:rPr>
          <w:rFonts w:hint="eastAsia"/>
          <w:snapToGrid w:val="0"/>
          <w:kern w:val="0"/>
          <w:sz w:val="24"/>
          <w:lang w:val="en-US" w:eastAsia="zh-CN"/>
        </w:rPr>
        <w:t>m</w:t>
      </w:r>
      <w:r>
        <w:rPr>
          <w:rFonts w:hint="default" w:ascii="Times New Roman" w:hAnsi="Times New Roman" w:cs="Times New Roman"/>
          <w:sz w:val="24"/>
          <w:szCs w:val="24"/>
        </w:rPr>
        <w:t>，J4J</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长为</w:t>
      </w:r>
      <w:r>
        <w:rPr>
          <w:snapToGrid w:val="0"/>
          <w:kern w:val="0"/>
          <w:sz w:val="24"/>
        </w:rPr>
        <w:t>272.17</w:t>
      </w:r>
      <w:r>
        <w:rPr>
          <w:rFonts w:hint="eastAsia"/>
          <w:snapToGrid w:val="0"/>
          <w:kern w:val="0"/>
          <w:sz w:val="24"/>
          <w:lang w:val="en-US" w:eastAsia="zh-CN"/>
        </w:rPr>
        <w:t>m</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J5J1长为</w:t>
      </w:r>
      <w:r>
        <w:rPr>
          <w:snapToGrid w:val="0"/>
          <w:kern w:val="0"/>
          <w:sz w:val="24"/>
        </w:rPr>
        <w:t>77.81</w:t>
      </w:r>
      <w:r>
        <w:rPr>
          <w:rFonts w:hint="eastAsia"/>
          <w:snapToGrid w:val="0"/>
          <w:kern w:val="0"/>
          <w:sz w:val="24"/>
          <w:lang w:val="en-US" w:eastAsia="zh-CN"/>
        </w:rPr>
        <w:t>m</w:t>
      </w:r>
      <w:r>
        <w:rPr>
          <w:rFonts w:hint="default" w:ascii="Times New Roman" w:hAnsi="Times New Roman" w:cs="Times New Roman"/>
          <w:sz w:val="24"/>
          <w:szCs w:val="24"/>
        </w:rPr>
        <w:t>。如图1所示，地块拐点坐标见表1，调查区调查范围详情见图1。</w:t>
      </w:r>
    </w:p>
    <w:p>
      <w:pPr>
        <w:widowControl/>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264785" cy="1862455"/>
            <wp:effectExtent l="0" t="0" r="12065" b="4445"/>
            <wp:docPr id="6" name="图片 6" descr="微信截图_20201201144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截图_20201201144307"/>
                    <pic:cNvPicPr>
                      <a:picLocks noChangeAspect="1"/>
                    </pic:cNvPicPr>
                  </pic:nvPicPr>
                  <pic:blipFill>
                    <a:blip r:embed="rId8"/>
                    <a:stretch>
                      <a:fillRect/>
                    </a:stretch>
                  </pic:blipFill>
                  <pic:spPr>
                    <a:xfrm>
                      <a:off x="0" y="0"/>
                      <a:ext cx="5264785" cy="1862455"/>
                    </a:xfrm>
                    <a:prstGeom prst="rect">
                      <a:avLst/>
                    </a:prstGeom>
                  </pic:spPr>
                </pic:pic>
              </a:graphicData>
            </a:graphic>
          </wp:inline>
        </w:drawing>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mc:AlternateContent>
          <mc:Choice Requires="wps">
            <w:drawing>
              <wp:anchor distT="0" distB="0" distL="114300" distR="114300" simplePos="0" relativeHeight="251659264" behindDoc="0" locked="0" layoutInCell="1" allowOverlap="1">
                <wp:simplePos x="0" y="0"/>
                <wp:positionH relativeFrom="column">
                  <wp:posOffset>1534160</wp:posOffset>
                </wp:positionH>
                <wp:positionV relativeFrom="paragraph">
                  <wp:posOffset>71755</wp:posOffset>
                </wp:positionV>
                <wp:extent cx="707390" cy="180975"/>
                <wp:effectExtent l="9525" t="9525" r="26035" b="19050"/>
                <wp:wrapNone/>
                <wp:docPr id="20" name="文本框 20"/>
                <wp:cNvGraphicFramePr/>
                <a:graphic xmlns:a="http://schemas.openxmlformats.org/drawingml/2006/main">
                  <a:graphicData uri="http://schemas.microsoft.com/office/word/2010/wordprocessingShape">
                    <wps:wsp>
                      <wps:cNvSpPr txBox="1"/>
                      <wps:spPr>
                        <a:xfrm>
                          <a:off x="0" y="0"/>
                          <a:ext cx="707390" cy="180975"/>
                        </a:xfrm>
                        <a:prstGeom prst="rect">
                          <a:avLst/>
                        </a:prstGeom>
                        <a:solidFill>
                          <a:srgbClr val="FFFFFF"/>
                        </a:solidFill>
                        <a:ln w="19050" cap="flat" cmpd="sng">
                          <a:solidFill>
                            <a:srgbClr val="EF0CF2"/>
                          </a:solidFill>
                          <a:prstDash val="solid"/>
                          <a:miter/>
                          <a:headEnd type="none" w="med" len="med"/>
                          <a:tailEnd type="none" w="med" len="med"/>
                        </a:ln>
                        <a:effectLst/>
                      </wps:spPr>
                      <wps:txbx>
                        <w:txbxContent>
                          <w:p/>
                        </w:txbxContent>
                      </wps:txbx>
                      <wps:bodyPr upright="1"/>
                    </wps:wsp>
                  </a:graphicData>
                </a:graphic>
              </wp:anchor>
            </w:drawing>
          </mc:Choice>
          <mc:Fallback>
            <w:pict>
              <v:shape id="_x0000_s1026" o:spid="_x0000_s1026" o:spt="202" type="#_x0000_t202" style="position:absolute;left:0pt;margin-left:120.8pt;margin-top:5.65pt;height:14.25pt;width:55.7pt;z-index:251659264;mso-width-relative:page;mso-height-relative:page;" fillcolor="#FFFFFF" filled="t" stroked="t" coordsize="21600,21600" o:gfxdata="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NGr/u1wAAAAkBAAAPAAAAAAAA&#10;AAEAIAAAACIAAABkcnMvZG93bnJldi54bWxQSwECFAAUAAAACACHTuJA1Dig3RMCAABGBAAADgAA&#10;AAAAAAABACAAAAAmAQAAZHJzL2Uyb0RvYy54bWxQSwUGAAAAAAYABgBZAQAAqwUAAAAA&#10;">
                <v:fill on="t" focussize="0,0"/>
                <v:stroke weight="1.5pt" color="#EF0CF2" joinstyle="miter"/>
                <v:imagedata o:title=""/>
                <o:lock v:ext="edit" aspectratio="f"/>
                <v:textbox>
                  <w:txbxContent>
                    <w:p/>
                  </w:txbxContent>
                </v:textbox>
              </v:shape>
            </w:pict>
          </mc:Fallback>
        </mc:AlternateContent>
      </w:r>
      <w:r>
        <w:rPr>
          <w:rFonts w:hint="default" w:ascii="Times New Roman" w:hAnsi="Times New Roman" w:cs="Times New Roman"/>
          <w:b/>
          <w:bCs/>
          <w:sz w:val="24"/>
          <w:szCs w:val="24"/>
        </w:rPr>
        <w:t>图例：调查范围</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图1</w:t>
      </w:r>
      <w:r>
        <w:rPr>
          <w:rFonts w:hint="default" w:ascii="Times New Roman" w:hAnsi="Times New Roman" w:cs="Times New Roman"/>
          <w:b/>
          <w:bCs/>
          <w:sz w:val="24"/>
          <w:szCs w:val="24"/>
          <w:lang w:eastAsia="zh-CN"/>
        </w:rPr>
        <w:t>地块</w:t>
      </w:r>
      <w:r>
        <w:rPr>
          <w:rFonts w:hint="default" w:ascii="Times New Roman" w:hAnsi="Times New Roman" w:cs="Times New Roman"/>
          <w:b/>
          <w:bCs/>
          <w:sz w:val="24"/>
          <w:szCs w:val="24"/>
        </w:rPr>
        <w:t>调查范围</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表1地块拐点坐标</w:t>
      </w:r>
    </w:p>
    <w:tbl>
      <w:tblPr>
        <w:tblStyle w:val="9"/>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1665"/>
        <w:gridCol w:w="1800"/>
        <w:gridCol w:w="604"/>
        <w:gridCol w:w="1793"/>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1665" w:type="dxa"/>
            <w:noWrap/>
            <w:vAlign w:val="center"/>
          </w:tcPr>
          <w:p>
            <w:pPr>
              <w:widowControl/>
              <w:spacing w:line="360" w:lineRule="auto"/>
              <w:ind w:firstLine="480" w:firstLineChars="200"/>
              <w:jc w:val="center"/>
              <w:rPr>
                <w:rFonts w:hint="default" w:ascii="Times New Roman" w:hAnsi="Times New Roman" w:cs="Times New Roman"/>
                <w:sz w:val="24"/>
                <w:szCs w:val="24"/>
              </w:rPr>
            </w:pPr>
            <w:r>
              <w:rPr>
                <w:rFonts w:hint="default" w:ascii="Times New Roman" w:hAnsi="Times New Roman" w:cs="Times New Roman"/>
                <w:sz w:val="24"/>
                <w:szCs w:val="24"/>
              </w:rPr>
              <w:t>X（米）</w:t>
            </w:r>
          </w:p>
        </w:tc>
        <w:tc>
          <w:tcPr>
            <w:tcW w:w="1800" w:type="dxa"/>
            <w:noWrap/>
            <w:vAlign w:val="center"/>
          </w:tcPr>
          <w:p>
            <w:pPr>
              <w:widowControl/>
              <w:spacing w:line="360" w:lineRule="auto"/>
              <w:ind w:firstLine="480" w:firstLineChars="200"/>
              <w:jc w:val="center"/>
              <w:rPr>
                <w:rFonts w:hint="default" w:ascii="Times New Roman" w:hAnsi="Times New Roman" w:cs="Times New Roman"/>
                <w:sz w:val="24"/>
                <w:szCs w:val="24"/>
              </w:rPr>
            </w:pPr>
            <w:r>
              <w:rPr>
                <w:rFonts w:hint="default" w:ascii="Times New Roman" w:hAnsi="Times New Roman" w:cs="Times New Roman"/>
                <w:sz w:val="24"/>
                <w:szCs w:val="24"/>
              </w:rPr>
              <w:t>Y（米）</w:t>
            </w:r>
          </w:p>
        </w:tc>
        <w:tc>
          <w:tcPr>
            <w:tcW w:w="604"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1793" w:type="dxa"/>
            <w:noWrap/>
            <w:vAlign w:val="center"/>
          </w:tcPr>
          <w:p>
            <w:pPr>
              <w:widowControl/>
              <w:spacing w:line="360" w:lineRule="auto"/>
              <w:ind w:firstLine="480" w:firstLineChars="200"/>
              <w:jc w:val="center"/>
              <w:rPr>
                <w:rFonts w:hint="default" w:ascii="Times New Roman" w:hAnsi="Times New Roman" w:cs="Times New Roman"/>
                <w:sz w:val="24"/>
                <w:szCs w:val="24"/>
              </w:rPr>
            </w:pPr>
            <w:r>
              <w:rPr>
                <w:rFonts w:hint="default" w:ascii="Times New Roman" w:hAnsi="Times New Roman" w:cs="Times New Roman"/>
                <w:sz w:val="24"/>
                <w:szCs w:val="24"/>
              </w:rPr>
              <w:t>X（米）</w:t>
            </w:r>
          </w:p>
        </w:tc>
        <w:tc>
          <w:tcPr>
            <w:tcW w:w="2117" w:type="dxa"/>
            <w:noWrap/>
            <w:vAlign w:val="center"/>
          </w:tcPr>
          <w:p>
            <w:pPr>
              <w:widowControl/>
              <w:spacing w:line="360" w:lineRule="auto"/>
              <w:ind w:firstLine="480" w:firstLineChars="200"/>
              <w:jc w:val="center"/>
              <w:rPr>
                <w:rFonts w:hint="default" w:ascii="Times New Roman" w:hAnsi="Times New Roman" w:cs="Times New Roman"/>
                <w:sz w:val="24"/>
                <w:szCs w:val="24"/>
              </w:rPr>
            </w:pPr>
            <w:r>
              <w:rPr>
                <w:rFonts w:hint="default" w:ascii="Times New Roman" w:hAnsi="Times New Roman" w:cs="Times New Roman"/>
                <w:sz w:val="24"/>
                <w:szCs w:val="24"/>
              </w:rPr>
              <w:t>Y（米）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J1</w:t>
            </w:r>
          </w:p>
        </w:tc>
        <w:tc>
          <w:tcPr>
            <w:tcW w:w="1665"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3904133.040</w:t>
            </w:r>
          </w:p>
        </w:tc>
        <w:tc>
          <w:tcPr>
            <w:tcW w:w="1800"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38488523.291</w:t>
            </w:r>
          </w:p>
        </w:tc>
        <w:tc>
          <w:tcPr>
            <w:tcW w:w="604" w:type="dxa"/>
            <w:noWrap/>
            <w:vAlign w:val="center"/>
          </w:tcPr>
          <w:p>
            <w:pPr>
              <w:widowControl/>
              <w:spacing w:line="360" w:lineRule="auto"/>
              <w:jc w:val="center"/>
              <w:rPr>
                <w:rFonts w:hint="eastAsia" w:ascii="Times New Roman" w:hAnsi="Times New Roman" w:eastAsia="宋体" w:cs="Times New Roman"/>
                <w:sz w:val="24"/>
                <w:szCs w:val="24"/>
                <w:lang w:val="en-US" w:eastAsia="zh-CN"/>
              </w:rPr>
            </w:pPr>
            <w:r>
              <w:rPr>
                <w:rFonts w:hint="default" w:ascii="Times New Roman" w:hAnsi="Times New Roman" w:cs="Times New Roman"/>
                <w:sz w:val="24"/>
                <w:szCs w:val="24"/>
              </w:rPr>
              <w:t>J</w:t>
            </w:r>
            <w:r>
              <w:rPr>
                <w:rFonts w:hint="eastAsia" w:ascii="Times New Roman" w:hAnsi="Times New Roman" w:cs="Times New Roman"/>
                <w:sz w:val="24"/>
                <w:szCs w:val="24"/>
                <w:lang w:val="en-US" w:eastAsia="zh-CN"/>
              </w:rPr>
              <w:t>4</w:t>
            </w:r>
          </w:p>
        </w:tc>
        <w:tc>
          <w:tcPr>
            <w:tcW w:w="1793"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3904084.935</w:t>
            </w:r>
          </w:p>
        </w:tc>
        <w:tc>
          <w:tcPr>
            <w:tcW w:w="2117"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38488793.714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J2</w:t>
            </w:r>
          </w:p>
        </w:tc>
        <w:tc>
          <w:tcPr>
            <w:tcW w:w="1665"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3904132.640</w:t>
            </w:r>
          </w:p>
        </w:tc>
        <w:tc>
          <w:tcPr>
            <w:tcW w:w="1800"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38488788.860</w:t>
            </w:r>
          </w:p>
        </w:tc>
        <w:tc>
          <w:tcPr>
            <w:tcW w:w="604" w:type="dxa"/>
            <w:noWrap/>
            <w:vAlign w:val="center"/>
          </w:tcPr>
          <w:p>
            <w:pPr>
              <w:widowControl/>
              <w:spacing w:line="360" w:lineRule="auto"/>
              <w:jc w:val="center"/>
              <w:rPr>
                <w:rFonts w:hint="eastAsia" w:ascii="Times New Roman" w:hAnsi="Times New Roman" w:eastAsia="宋体" w:cs="Times New Roman"/>
                <w:sz w:val="24"/>
                <w:szCs w:val="24"/>
                <w:lang w:val="en-US" w:eastAsia="zh-CN"/>
              </w:rPr>
            </w:pPr>
            <w:r>
              <w:rPr>
                <w:rFonts w:hint="default" w:ascii="Times New Roman" w:hAnsi="Times New Roman" w:cs="Times New Roman"/>
                <w:sz w:val="24"/>
                <w:szCs w:val="24"/>
              </w:rPr>
              <w:t>J</w:t>
            </w:r>
            <w:r>
              <w:rPr>
                <w:rFonts w:hint="eastAsia" w:ascii="Times New Roman" w:hAnsi="Times New Roman" w:cs="Times New Roman"/>
                <w:sz w:val="24"/>
                <w:szCs w:val="24"/>
                <w:lang w:val="en-US" w:eastAsia="zh-CN"/>
              </w:rPr>
              <w:t>5</w:t>
            </w:r>
          </w:p>
        </w:tc>
        <w:tc>
          <w:tcPr>
            <w:tcW w:w="1793"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3904055.228</w:t>
            </w:r>
          </w:p>
        </w:tc>
        <w:tc>
          <w:tcPr>
            <w:tcW w:w="2117"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38488523.174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J3</w:t>
            </w:r>
          </w:p>
        </w:tc>
        <w:tc>
          <w:tcPr>
            <w:tcW w:w="1665"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3904121.856</w:t>
            </w:r>
          </w:p>
        </w:tc>
        <w:tc>
          <w:tcPr>
            <w:tcW w:w="1800" w:type="dxa"/>
            <w:noWrap/>
            <w:vAlign w:val="center"/>
          </w:tcPr>
          <w:p>
            <w:pPr>
              <w:widowControl/>
              <w:spacing w:line="360" w:lineRule="auto"/>
              <w:jc w:val="center"/>
              <w:rPr>
                <w:rFonts w:hint="default" w:ascii="Times New Roman" w:hAnsi="Times New Roman" w:cs="Times New Roman"/>
                <w:sz w:val="24"/>
                <w:szCs w:val="24"/>
              </w:rPr>
            </w:pPr>
            <w:r>
              <w:rPr>
                <w:snapToGrid w:val="0"/>
                <w:kern w:val="0"/>
                <w:sz w:val="24"/>
              </w:rPr>
              <w:t>38488793.769</w:t>
            </w:r>
          </w:p>
        </w:tc>
        <w:tc>
          <w:tcPr>
            <w:tcW w:w="604" w:type="dxa"/>
            <w:noWrap/>
            <w:vAlign w:val="center"/>
          </w:tcPr>
          <w:p>
            <w:pPr>
              <w:widowControl/>
              <w:spacing w:line="360" w:lineRule="auto"/>
              <w:jc w:val="center"/>
              <w:rPr>
                <w:rFonts w:hint="default" w:ascii="Times New Roman" w:hAnsi="Times New Roman" w:cs="Times New Roman"/>
                <w:sz w:val="24"/>
                <w:szCs w:val="24"/>
              </w:rPr>
            </w:pPr>
          </w:p>
        </w:tc>
        <w:tc>
          <w:tcPr>
            <w:tcW w:w="1793" w:type="dxa"/>
            <w:noWrap/>
            <w:vAlign w:val="center"/>
          </w:tcPr>
          <w:p>
            <w:pPr>
              <w:widowControl/>
              <w:spacing w:line="360" w:lineRule="auto"/>
              <w:jc w:val="center"/>
              <w:rPr>
                <w:rFonts w:hint="default" w:ascii="Times New Roman" w:hAnsi="Times New Roman" w:cs="Times New Roman"/>
                <w:sz w:val="24"/>
                <w:szCs w:val="24"/>
              </w:rPr>
            </w:pPr>
          </w:p>
        </w:tc>
        <w:tc>
          <w:tcPr>
            <w:tcW w:w="2117" w:type="dxa"/>
            <w:noWrap/>
            <w:vAlign w:val="center"/>
          </w:tcPr>
          <w:p>
            <w:pPr>
              <w:widowControl/>
              <w:spacing w:line="360" w:lineRule="auto"/>
              <w:jc w:val="center"/>
              <w:rPr>
                <w:rFonts w:hint="default" w:ascii="Times New Roman" w:hAnsi="Times New Roman" w:cs="Times New Roman"/>
                <w:sz w:val="24"/>
                <w:szCs w:val="24"/>
              </w:rPr>
            </w:pPr>
          </w:p>
        </w:tc>
      </w:tr>
    </w:tbl>
    <w:p>
      <w:pPr>
        <w:pStyle w:val="5"/>
        <w:keepNext w:val="0"/>
        <w:keepLines w:val="0"/>
        <w:widowControl/>
        <w:spacing w:line="360" w:lineRule="auto"/>
        <w:contextualSpacing/>
        <w:jc w:val="left"/>
        <w:outlineLvl w:val="9"/>
        <w:rPr>
          <w:rFonts w:hint="default" w:ascii="Times New Roman" w:hAnsi="Times New Roman" w:cs="Times New Roman"/>
          <w:b/>
          <w:kern w:val="0"/>
          <w:sz w:val="28"/>
          <w:szCs w:val="26"/>
        </w:rPr>
      </w:pPr>
      <w:bookmarkStart w:id="33" w:name="_Toc27577052"/>
      <w:bookmarkStart w:id="34" w:name="_Toc29257"/>
      <w:bookmarkStart w:id="35" w:name="_Toc27008"/>
      <w:bookmarkStart w:id="36" w:name="_Toc15183"/>
      <w:bookmarkStart w:id="37" w:name="_Toc27149"/>
      <w:bookmarkStart w:id="38" w:name="_Toc13171"/>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39" w:name="_Toc1972"/>
      <w:bookmarkStart w:id="40" w:name="_Toc2362"/>
      <w:bookmarkStart w:id="41" w:name="_Toc6522"/>
      <w:r>
        <w:rPr>
          <w:rFonts w:hint="default" w:ascii="Times New Roman" w:hAnsi="Times New Roman" w:cs="Times New Roman"/>
          <w:b/>
          <w:kern w:val="0"/>
          <w:sz w:val="28"/>
          <w:szCs w:val="26"/>
        </w:rPr>
        <w:t>1.4调查目的</w:t>
      </w:r>
      <w:bookmarkEnd w:id="33"/>
      <w:bookmarkEnd w:id="34"/>
      <w:bookmarkEnd w:id="35"/>
      <w:bookmarkEnd w:id="36"/>
      <w:bookmarkEnd w:id="37"/>
      <w:bookmarkEnd w:id="38"/>
      <w:bookmarkEnd w:id="39"/>
      <w:bookmarkEnd w:id="40"/>
      <w:bookmarkEnd w:id="41"/>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本次调查通过资料收集、野外踏勘、初步采样等系列工作，判定地块是否存在污染现象，为地块的环境管理、修复提供基础依据。</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本次工作的任务：</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（1）通过资料收集、现场踏勘，初步分析地块内和周围区域当前和历史上是否可能存在污染源，制定初步调查方案。</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（2）通过人员访谈、地块调查以及对历史产品及生产工艺的分析，确定地块内潜在关注污染区域及污染物。</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（3）根据潜在关注污染区域的分布情况，进行现场样品采集、测试分析。</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（4）根据测试结果分析地块内污染物构成及污染程度，并对是否进行详细调查提出建议。</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42" w:name="_Toc19253"/>
      <w:bookmarkStart w:id="43" w:name="_Toc11183"/>
      <w:bookmarkStart w:id="44" w:name="_Toc27241"/>
      <w:bookmarkStart w:id="45" w:name="_Toc22166"/>
      <w:bookmarkStart w:id="46" w:name="_Toc25142"/>
      <w:bookmarkStart w:id="47" w:name="_Toc24229"/>
      <w:bookmarkStart w:id="48" w:name="_Toc26188"/>
      <w:bookmarkStart w:id="49" w:name="_Toc27577053"/>
      <w:bookmarkStart w:id="50" w:name="_Toc13062"/>
      <w:r>
        <w:rPr>
          <w:rFonts w:hint="default" w:ascii="Times New Roman" w:hAnsi="Times New Roman" w:cs="Times New Roman"/>
          <w:b/>
          <w:kern w:val="0"/>
          <w:sz w:val="28"/>
          <w:szCs w:val="26"/>
        </w:rPr>
        <w:t>1.5调查原则</w:t>
      </w:r>
      <w:bookmarkEnd w:id="42"/>
      <w:bookmarkEnd w:id="43"/>
      <w:bookmarkEnd w:id="44"/>
      <w:bookmarkEnd w:id="45"/>
      <w:bookmarkEnd w:id="46"/>
      <w:bookmarkEnd w:id="47"/>
      <w:bookmarkEnd w:id="48"/>
      <w:bookmarkEnd w:id="49"/>
      <w:bookmarkEnd w:id="50"/>
    </w:p>
    <w:p>
      <w:pPr>
        <w:widowControl/>
        <w:spacing w:line="360" w:lineRule="auto"/>
        <w:ind w:firstLine="480" w:firstLineChars="200"/>
        <w:jc w:val="left"/>
        <w:outlineLvl w:val="1"/>
        <w:rPr>
          <w:rFonts w:hint="default" w:ascii="Times New Roman" w:hAnsi="Times New Roman" w:cs="Times New Roman"/>
          <w:sz w:val="24"/>
          <w:szCs w:val="24"/>
        </w:rPr>
      </w:pPr>
      <w:bookmarkStart w:id="51" w:name="_Toc1990"/>
      <w:bookmarkStart w:id="52" w:name="_Toc21929"/>
      <w:bookmarkStart w:id="53" w:name="_Toc16416"/>
      <w:bookmarkStart w:id="54" w:name="_Toc9083"/>
      <w:r>
        <w:rPr>
          <w:rFonts w:hint="default" w:ascii="Times New Roman" w:hAnsi="Times New Roman" w:cs="Times New Roman"/>
          <w:sz w:val="24"/>
          <w:szCs w:val="24"/>
        </w:rPr>
        <w:t>（1）针对性原则</w:t>
      </w:r>
      <w:bookmarkEnd w:id="51"/>
      <w:bookmarkEnd w:id="52"/>
      <w:bookmarkEnd w:id="53"/>
      <w:bookmarkEnd w:id="54"/>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针对地块的特征和潜在污染特性，兼顾地块附近的本底值，进行污染物浓度和分布特征调查，为地块的环境管理提供依据。</w:t>
      </w:r>
    </w:p>
    <w:p>
      <w:pPr>
        <w:widowControl/>
        <w:spacing w:line="360" w:lineRule="auto"/>
        <w:ind w:firstLine="480" w:firstLineChars="200"/>
        <w:jc w:val="left"/>
        <w:outlineLvl w:val="1"/>
        <w:rPr>
          <w:rFonts w:hint="default" w:ascii="Times New Roman" w:hAnsi="Times New Roman" w:cs="Times New Roman"/>
          <w:sz w:val="24"/>
          <w:szCs w:val="24"/>
        </w:rPr>
      </w:pPr>
      <w:bookmarkStart w:id="55" w:name="_Toc7657"/>
      <w:bookmarkStart w:id="56" w:name="_Toc10635"/>
      <w:bookmarkStart w:id="57" w:name="_Toc8647"/>
      <w:bookmarkStart w:id="58" w:name="_Toc4242"/>
      <w:r>
        <w:rPr>
          <w:rFonts w:hint="default" w:ascii="Times New Roman" w:hAnsi="Times New Roman" w:cs="Times New Roman"/>
          <w:sz w:val="24"/>
          <w:szCs w:val="24"/>
        </w:rPr>
        <w:t>（2）规范性原则</w:t>
      </w:r>
      <w:bookmarkEnd w:id="55"/>
      <w:bookmarkEnd w:id="56"/>
      <w:bookmarkEnd w:id="57"/>
      <w:bookmarkEnd w:id="58"/>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采用程序化和系统化的方式规范地块土壤污染状况调查过程，保证调查过程的科学性和客观性。</w:t>
      </w:r>
    </w:p>
    <w:p>
      <w:pPr>
        <w:widowControl/>
        <w:spacing w:line="360" w:lineRule="auto"/>
        <w:ind w:firstLine="480" w:firstLineChars="200"/>
        <w:jc w:val="left"/>
        <w:outlineLvl w:val="1"/>
        <w:rPr>
          <w:rFonts w:hint="default" w:ascii="Times New Roman" w:hAnsi="Times New Roman" w:cs="Times New Roman"/>
          <w:sz w:val="24"/>
          <w:szCs w:val="24"/>
        </w:rPr>
      </w:pPr>
      <w:bookmarkStart w:id="59" w:name="_Toc30171"/>
      <w:bookmarkStart w:id="60" w:name="_Toc7590"/>
      <w:bookmarkStart w:id="61" w:name="_Toc12893"/>
      <w:bookmarkStart w:id="62" w:name="_Toc24505"/>
      <w:r>
        <w:rPr>
          <w:rFonts w:hint="default" w:ascii="Times New Roman" w:hAnsi="Times New Roman" w:cs="Times New Roman"/>
          <w:sz w:val="24"/>
          <w:szCs w:val="24"/>
        </w:rPr>
        <w:t>（3）可操作性原则</w:t>
      </w:r>
      <w:bookmarkEnd w:id="59"/>
      <w:bookmarkEnd w:id="60"/>
      <w:bookmarkEnd w:id="61"/>
      <w:bookmarkEnd w:id="62"/>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综合考虑调查方法，时间和经费等因素，结合当前科技发展和专业技术水平，使调查过程切实可行。</w:t>
      </w:r>
    </w:p>
    <w:p>
      <w:pPr>
        <w:widowControl/>
        <w:spacing w:line="360" w:lineRule="auto"/>
        <w:ind w:firstLine="480" w:firstLineChars="200"/>
        <w:jc w:val="left"/>
        <w:outlineLvl w:val="1"/>
        <w:rPr>
          <w:rFonts w:hint="default" w:ascii="Times New Roman" w:hAnsi="Times New Roman" w:cs="Times New Roman"/>
          <w:sz w:val="24"/>
          <w:szCs w:val="24"/>
        </w:rPr>
      </w:pPr>
      <w:bookmarkStart w:id="63" w:name="_Toc12541"/>
      <w:bookmarkStart w:id="64" w:name="_Toc8135"/>
      <w:bookmarkStart w:id="65" w:name="_Toc9007"/>
      <w:bookmarkStart w:id="66" w:name="_Toc7748"/>
      <w:r>
        <w:rPr>
          <w:rFonts w:hint="default" w:ascii="Times New Roman" w:hAnsi="Times New Roman" w:cs="Times New Roman"/>
          <w:sz w:val="24"/>
          <w:szCs w:val="24"/>
        </w:rPr>
        <w:t>4、可操作性原则</w:t>
      </w:r>
      <w:bookmarkEnd w:id="63"/>
      <w:bookmarkEnd w:id="64"/>
      <w:bookmarkEnd w:id="65"/>
      <w:bookmarkEnd w:id="66"/>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综合考虑调查方法，时间和经费等因素，结合当前科技发展和专业技术水平，使调查过程切实可行。</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67" w:name="_Toc6049950"/>
      <w:bookmarkStart w:id="68" w:name="_Toc4634"/>
      <w:bookmarkStart w:id="69" w:name="_Toc19006"/>
      <w:bookmarkStart w:id="70" w:name="_Toc6070"/>
      <w:bookmarkStart w:id="71" w:name="_Toc10640"/>
      <w:bookmarkStart w:id="72" w:name="_Toc10428"/>
      <w:bookmarkStart w:id="73" w:name="_Toc27577054"/>
      <w:bookmarkStart w:id="74" w:name="_Toc1706"/>
      <w:bookmarkStart w:id="75" w:name="_Toc1425"/>
      <w:bookmarkStart w:id="76" w:name="_Toc11060"/>
      <w:r>
        <w:rPr>
          <w:rFonts w:hint="default" w:ascii="Times New Roman" w:hAnsi="Times New Roman" w:cs="Times New Roman"/>
          <w:b/>
          <w:kern w:val="0"/>
          <w:sz w:val="28"/>
          <w:szCs w:val="26"/>
        </w:rPr>
        <w:t>1.6</w:t>
      </w:r>
      <w:bookmarkEnd w:id="67"/>
      <w:r>
        <w:rPr>
          <w:rFonts w:hint="default" w:ascii="Times New Roman" w:hAnsi="Times New Roman" w:cs="Times New Roman"/>
          <w:b/>
          <w:kern w:val="0"/>
          <w:sz w:val="28"/>
          <w:szCs w:val="26"/>
        </w:rPr>
        <w:t>工作依据</w:t>
      </w:r>
      <w:bookmarkEnd w:id="68"/>
      <w:bookmarkEnd w:id="69"/>
      <w:bookmarkEnd w:id="70"/>
      <w:bookmarkEnd w:id="71"/>
      <w:bookmarkEnd w:id="72"/>
      <w:bookmarkEnd w:id="73"/>
      <w:bookmarkEnd w:id="74"/>
      <w:bookmarkEnd w:id="75"/>
      <w:bookmarkEnd w:id="76"/>
    </w:p>
    <w:p>
      <w:pPr>
        <w:pStyle w:val="5"/>
        <w:keepNext w:val="0"/>
        <w:keepLines w:val="0"/>
        <w:numPr>
          <w:ilvl w:val="1"/>
          <w:numId w:val="0"/>
        </w:numPr>
        <w:tabs>
          <w:tab w:val="left" w:pos="195"/>
          <w:tab w:val="left" w:pos="420"/>
        </w:tabs>
        <w:adjustRightInd w:val="0"/>
        <w:snapToGrid w:val="0"/>
        <w:spacing w:beforeLines="50" w:after="0" w:line="360" w:lineRule="auto"/>
        <w:ind w:left="575" w:hanging="575"/>
        <w:jc w:val="left"/>
        <w:rPr>
          <w:rFonts w:hint="default" w:ascii="Times New Roman" w:hAnsi="Times New Roman" w:eastAsia="宋体" w:cs="Times New Roman"/>
          <w:b/>
          <w:bCs/>
          <w:kern w:val="2"/>
          <w:sz w:val="24"/>
          <w:szCs w:val="24"/>
          <w:lang w:val="en-US" w:eastAsia="zh-CN" w:bidi="ar-SA"/>
        </w:rPr>
      </w:pPr>
      <w:bookmarkStart w:id="77" w:name="_Toc27577055"/>
      <w:bookmarkStart w:id="78" w:name="_Toc532890974"/>
      <w:bookmarkStart w:id="79" w:name="_Toc21390"/>
      <w:bookmarkStart w:id="80" w:name="_Toc489"/>
      <w:bookmarkStart w:id="81" w:name="_Toc23630370"/>
      <w:bookmarkStart w:id="82" w:name="_Toc14362162"/>
      <w:bookmarkStart w:id="83" w:name="_Toc9813"/>
      <w:bookmarkStart w:id="84" w:name="_Toc23201"/>
      <w:bookmarkStart w:id="85" w:name="_Toc28229"/>
      <w:r>
        <w:rPr>
          <w:rFonts w:hint="default" w:ascii="Times New Roman" w:hAnsi="Times New Roman" w:eastAsia="宋体" w:cs="Times New Roman"/>
          <w:b/>
          <w:bCs/>
          <w:kern w:val="2"/>
          <w:sz w:val="24"/>
          <w:szCs w:val="24"/>
          <w:lang w:val="en-US" w:eastAsia="zh-CN" w:bidi="ar-SA"/>
        </w:rPr>
        <w:t xml:space="preserve"> </w:t>
      </w:r>
      <w:bookmarkStart w:id="86" w:name="_Toc11642"/>
      <w:bookmarkStart w:id="87" w:name="_Toc10585"/>
      <w:bookmarkStart w:id="88" w:name="_Toc22095"/>
      <w:bookmarkStart w:id="89" w:name="_Toc16919"/>
      <w:r>
        <w:rPr>
          <w:rFonts w:hint="default" w:ascii="Times New Roman" w:hAnsi="Times New Roman" w:eastAsia="宋体" w:cs="Times New Roman"/>
          <w:b/>
          <w:bCs/>
          <w:kern w:val="2"/>
          <w:sz w:val="24"/>
          <w:szCs w:val="24"/>
          <w:lang w:val="en-US" w:eastAsia="zh-CN" w:bidi="ar-SA"/>
        </w:rPr>
        <w:t>政策与法律法规</w:t>
      </w:r>
      <w:bookmarkEnd w:id="86"/>
      <w:bookmarkEnd w:id="87"/>
      <w:bookmarkEnd w:id="88"/>
      <w:bookmarkEnd w:id="89"/>
    </w:p>
    <w:p>
      <w:pPr>
        <w:widowControl/>
        <w:spacing w:line="360" w:lineRule="auto"/>
        <w:ind w:firstLine="480" w:firstLineChars="200"/>
        <w:jc w:val="left"/>
        <w:outlineLvl w:val="1"/>
        <w:rPr>
          <w:rFonts w:hint="default" w:ascii="Times New Roman" w:hAnsi="Times New Roman" w:cs="Times New Roman"/>
          <w:sz w:val="24"/>
          <w:szCs w:val="24"/>
        </w:rPr>
      </w:pPr>
      <w:bookmarkStart w:id="90" w:name="_Toc25858"/>
      <w:r>
        <w:rPr>
          <w:rFonts w:hint="default" w:ascii="Times New Roman" w:hAnsi="Times New Roman" w:cs="Times New Roman"/>
          <w:sz w:val="24"/>
          <w:szCs w:val="24"/>
        </w:rPr>
        <w:t>《中华人民共和国环境保护法》（2015年1月1日起施行）；</w:t>
      </w:r>
      <w:bookmarkEnd w:id="90"/>
    </w:p>
    <w:p>
      <w:pPr>
        <w:widowControl/>
        <w:spacing w:line="360" w:lineRule="auto"/>
        <w:ind w:firstLine="480" w:firstLineChars="200"/>
        <w:jc w:val="left"/>
        <w:outlineLvl w:val="1"/>
        <w:rPr>
          <w:rFonts w:hint="default" w:ascii="Times New Roman" w:hAnsi="Times New Roman" w:cs="Times New Roman"/>
          <w:sz w:val="24"/>
          <w:szCs w:val="24"/>
        </w:rPr>
      </w:pPr>
      <w:bookmarkStart w:id="91" w:name="_Toc19536"/>
      <w:r>
        <w:rPr>
          <w:rFonts w:hint="default" w:ascii="Times New Roman" w:hAnsi="Times New Roman" w:cs="Times New Roman"/>
          <w:sz w:val="24"/>
          <w:szCs w:val="24"/>
        </w:rPr>
        <w:t>《中华人民共和国土壤污染防治法》（2019年1月1日起实施）；</w:t>
      </w:r>
      <w:bookmarkEnd w:id="91"/>
    </w:p>
    <w:p>
      <w:pPr>
        <w:widowControl/>
        <w:spacing w:line="360" w:lineRule="auto"/>
        <w:ind w:firstLine="480" w:firstLineChars="200"/>
        <w:jc w:val="left"/>
        <w:outlineLvl w:val="1"/>
        <w:rPr>
          <w:rFonts w:hint="default" w:ascii="Times New Roman" w:hAnsi="Times New Roman" w:cs="Times New Roman"/>
          <w:sz w:val="24"/>
          <w:szCs w:val="24"/>
        </w:rPr>
      </w:pPr>
      <w:bookmarkStart w:id="92" w:name="_Toc6116"/>
      <w:r>
        <w:rPr>
          <w:rFonts w:hint="default" w:ascii="Times New Roman" w:hAnsi="Times New Roman" w:cs="Times New Roman"/>
          <w:sz w:val="24"/>
          <w:szCs w:val="24"/>
        </w:rPr>
        <w:t>《中华人民共和国水污染防治法》（2018年1月1日起实施）；</w:t>
      </w:r>
      <w:bookmarkEnd w:id="92"/>
    </w:p>
    <w:p>
      <w:pPr>
        <w:widowControl/>
        <w:spacing w:line="360" w:lineRule="auto"/>
        <w:ind w:firstLine="480" w:firstLineChars="200"/>
        <w:jc w:val="left"/>
        <w:outlineLvl w:val="1"/>
        <w:rPr>
          <w:rFonts w:hint="default" w:ascii="Times New Roman" w:hAnsi="Times New Roman" w:cs="Times New Roman"/>
          <w:sz w:val="24"/>
          <w:szCs w:val="24"/>
        </w:rPr>
      </w:pPr>
      <w:bookmarkStart w:id="93" w:name="_Toc7070"/>
      <w:r>
        <w:rPr>
          <w:rFonts w:hint="default" w:ascii="Times New Roman" w:hAnsi="Times New Roman" w:cs="Times New Roman"/>
          <w:sz w:val="24"/>
          <w:szCs w:val="24"/>
        </w:rPr>
        <w:t>《中华人民共和国固体废物污染环境防治法》（2016年11月7日修正版）；</w:t>
      </w:r>
      <w:bookmarkEnd w:id="93"/>
    </w:p>
    <w:p>
      <w:pPr>
        <w:widowControl/>
        <w:spacing w:line="360" w:lineRule="auto"/>
        <w:ind w:firstLine="480" w:firstLineChars="200"/>
        <w:jc w:val="left"/>
        <w:outlineLvl w:val="1"/>
        <w:rPr>
          <w:rFonts w:hint="default" w:ascii="Times New Roman" w:hAnsi="Times New Roman" w:cs="Times New Roman"/>
          <w:sz w:val="24"/>
          <w:szCs w:val="24"/>
        </w:rPr>
      </w:pPr>
      <w:bookmarkStart w:id="94" w:name="_Toc23615"/>
      <w:r>
        <w:rPr>
          <w:rFonts w:hint="default" w:ascii="Times New Roman" w:hAnsi="Times New Roman" w:cs="Times New Roman"/>
          <w:sz w:val="24"/>
          <w:szCs w:val="24"/>
        </w:rPr>
        <w:t>《中华人民共和国城乡规划法》（中华人民共和国主席令第七十四号，2008年1月1日期实施）。</w:t>
      </w:r>
      <w:bookmarkEnd w:id="94"/>
    </w:p>
    <w:p>
      <w:pPr>
        <w:widowControl/>
        <w:spacing w:line="360" w:lineRule="auto"/>
        <w:ind w:firstLine="480" w:firstLineChars="200"/>
        <w:jc w:val="left"/>
        <w:outlineLvl w:val="1"/>
        <w:rPr>
          <w:rFonts w:hint="default" w:ascii="Times New Roman" w:hAnsi="Times New Roman" w:cs="Times New Roman"/>
          <w:sz w:val="24"/>
          <w:szCs w:val="24"/>
        </w:rPr>
      </w:pPr>
      <w:bookmarkStart w:id="95" w:name="_Toc31073"/>
      <w:r>
        <w:rPr>
          <w:rFonts w:hint="default" w:ascii="Times New Roman" w:hAnsi="Times New Roman" w:cs="Times New Roman"/>
          <w:sz w:val="24"/>
          <w:szCs w:val="24"/>
        </w:rPr>
        <w:t>《中华人民共和国土地管理法》（2019年8月26日修订版）；</w:t>
      </w:r>
      <w:bookmarkEnd w:id="95"/>
    </w:p>
    <w:p>
      <w:pPr>
        <w:widowControl/>
        <w:spacing w:line="360" w:lineRule="auto"/>
        <w:ind w:firstLine="480" w:firstLineChars="200"/>
        <w:jc w:val="left"/>
        <w:outlineLvl w:val="1"/>
        <w:rPr>
          <w:rFonts w:hint="default" w:ascii="Times New Roman" w:hAnsi="Times New Roman" w:cs="Times New Roman"/>
          <w:sz w:val="24"/>
          <w:szCs w:val="24"/>
        </w:rPr>
      </w:pPr>
      <w:bookmarkStart w:id="96" w:name="_Toc32151"/>
      <w:r>
        <w:rPr>
          <w:rFonts w:hint="default" w:ascii="Times New Roman" w:hAnsi="Times New Roman" w:cs="Times New Roman"/>
          <w:sz w:val="24"/>
          <w:szCs w:val="24"/>
        </w:rPr>
        <w:t>《土壤污染防治行动计划》（国发[2016]31号）；</w:t>
      </w:r>
      <w:bookmarkEnd w:id="96"/>
    </w:p>
    <w:p>
      <w:pPr>
        <w:widowControl/>
        <w:spacing w:line="360" w:lineRule="auto"/>
        <w:ind w:firstLine="480" w:firstLineChars="200"/>
        <w:jc w:val="left"/>
        <w:outlineLvl w:val="1"/>
        <w:rPr>
          <w:rFonts w:hint="default" w:ascii="Times New Roman" w:hAnsi="Times New Roman" w:cs="Times New Roman"/>
          <w:sz w:val="24"/>
          <w:szCs w:val="24"/>
        </w:rPr>
      </w:pPr>
      <w:bookmarkStart w:id="97" w:name="_Toc13328"/>
      <w:r>
        <w:rPr>
          <w:rFonts w:hint="default" w:ascii="Times New Roman" w:hAnsi="Times New Roman" w:cs="Times New Roman"/>
          <w:sz w:val="24"/>
          <w:szCs w:val="24"/>
        </w:rPr>
        <w:t>《关于印发《国家环境保护“十三五”规划》的通知（环科技[2017]49号）；</w:t>
      </w:r>
      <w:bookmarkEnd w:id="97"/>
    </w:p>
    <w:p>
      <w:pPr>
        <w:widowControl/>
        <w:spacing w:line="360" w:lineRule="auto"/>
        <w:ind w:firstLine="480" w:firstLineChars="200"/>
        <w:jc w:val="left"/>
        <w:outlineLvl w:val="1"/>
        <w:rPr>
          <w:rFonts w:hint="default" w:ascii="Times New Roman" w:hAnsi="Times New Roman" w:cs="Times New Roman"/>
          <w:sz w:val="24"/>
          <w:szCs w:val="24"/>
        </w:rPr>
      </w:pPr>
      <w:bookmarkStart w:id="98" w:name="_Toc1415"/>
      <w:r>
        <w:rPr>
          <w:rFonts w:hint="default" w:ascii="Times New Roman" w:hAnsi="Times New Roman" w:cs="Times New Roman"/>
          <w:sz w:val="24"/>
          <w:szCs w:val="24"/>
        </w:rPr>
        <w:t>《关于印发环保部门2018年土壤污染防治工作要点的通知》（豫环文[2018]13号）；</w:t>
      </w:r>
      <w:bookmarkEnd w:id="98"/>
    </w:p>
    <w:p>
      <w:pPr>
        <w:widowControl/>
        <w:spacing w:line="360" w:lineRule="auto"/>
        <w:ind w:firstLine="480" w:firstLineChars="200"/>
        <w:jc w:val="left"/>
        <w:outlineLvl w:val="1"/>
        <w:rPr>
          <w:rFonts w:hint="default" w:ascii="Times New Roman" w:hAnsi="Times New Roman" w:cs="Times New Roman"/>
          <w:sz w:val="24"/>
          <w:szCs w:val="24"/>
        </w:rPr>
      </w:pPr>
      <w:bookmarkStart w:id="99" w:name="_Toc14315"/>
      <w:r>
        <w:rPr>
          <w:rFonts w:hint="default" w:ascii="Times New Roman" w:hAnsi="Times New Roman" w:cs="Times New Roman"/>
          <w:sz w:val="24"/>
          <w:szCs w:val="24"/>
        </w:rPr>
        <w:t>《工矿用地土壤环境管理办法（试行）》（生态环境部部令第3号，2018年8月1日起实施）；</w:t>
      </w:r>
      <w:bookmarkEnd w:id="99"/>
    </w:p>
    <w:p>
      <w:pPr>
        <w:widowControl/>
        <w:spacing w:line="360" w:lineRule="auto"/>
        <w:ind w:firstLine="480" w:firstLineChars="200"/>
        <w:jc w:val="left"/>
        <w:outlineLvl w:val="1"/>
        <w:rPr>
          <w:rFonts w:hint="default" w:ascii="Times New Roman" w:hAnsi="Times New Roman" w:cs="Times New Roman"/>
          <w:sz w:val="24"/>
          <w:szCs w:val="24"/>
        </w:rPr>
      </w:pPr>
      <w:bookmarkStart w:id="100" w:name="_Toc23575"/>
      <w:r>
        <w:rPr>
          <w:rFonts w:hint="default" w:ascii="Times New Roman" w:hAnsi="Times New Roman" w:cs="Times New Roman"/>
          <w:sz w:val="24"/>
          <w:szCs w:val="24"/>
        </w:rPr>
        <w:t>《关于落实科学发展观加强环境保护的决定》（国发[2005]39号）；</w:t>
      </w:r>
      <w:bookmarkEnd w:id="100"/>
    </w:p>
    <w:p>
      <w:pPr>
        <w:widowControl/>
        <w:spacing w:line="360" w:lineRule="auto"/>
        <w:ind w:firstLine="480" w:firstLineChars="200"/>
        <w:jc w:val="left"/>
        <w:outlineLvl w:val="1"/>
        <w:rPr>
          <w:rFonts w:hint="default" w:ascii="Times New Roman" w:hAnsi="Times New Roman" w:cs="Times New Roman"/>
          <w:sz w:val="24"/>
          <w:szCs w:val="24"/>
        </w:rPr>
      </w:pPr>
      <w:bookmarkStart w:id="101" w:name="_Toc26564"/>
      <w:r>
        <w:rPr>
          <w:rFonts w:hint="default" w:ascii="Times New Roman" w:hAnsi="Times New Roman" w:cs="Times New Roman"/>
          <w:sz w:val="24"/>
          <w:szCs w:val="24"/>
        </w:rPr>
        <w:t>《国务院关于印发近期土壤环境保护和综合治理工作安排的通知》（国办发[2013]7号）。</w:t>
      </w:r>
      <w:bookmarkEnd w:id="101"/>
    </w:p>
    <w:p>
      <w:pPr>
        <w:widowControl/>
        <w:spacing w:line="360" w:lineRule="auto"/>
        <w:jc w:val="left"/>
        <w:outlineLvl w:val="1"/>
        <w:rPr>
          <w:rFonts w:hint="default" w:ascii="Times New Roman" w:hAnsi="Times New Roman" w:cs="Times New Roman"/>
          <w:b/>
          <w:bCs/>
          <w:sz w:val="24"/>
          <w:szCs w:val="24"/>
        </w:rPr>
      </w:pPr>
      <w:bookmarkStart w:id="102" w:name="_Toc8959"/>
      <w:bookmarkStart w:id="103" w:name="_Toc30821"/>
      <w:r>
        <w:rPr>
          <w:rFonts w:hint="default" w:ascii="Times New Roman" w:hAnsi="Times New Roman" w:cs="Times New Roman"/>
          <w:b/>
          <w:bCs/>
          <w:sz w:val="24"/>
          <w:szCs w:val="24"/>
        </w:rPr>
        <w:t>技术导则、标准规范</w:t>
      </w:r>
      <w:bookmarkEnd w:id="102"/>
      <w:bookmarkEnd w:id="103"/>
    </w:p>
    <w:p>
      <w:pPr>
        <w:widowControl/>
        <w:spacing w:line="360" w:lineRule="auto"/>
        <w:ind w:firstLine="480" w:firstLineChars="200"/>
        <w:jc w:val="left"/>
        <w:outlineLvl w:val="1"/>
        <w:rPr>
          <w:rFonts w:hint="default" w:ascii="Times New Roman" w:hAnsi="Times New Roman" w:cs="Times New Roman"/>
          <w:sz w:val="24"/>
          <w:szCs w:val="24"/>
        </w:rPr>
      </w:pPr>
      <w:bookmarkStart w:id="104" w:name="_Toc4797"/>
      <w:r>
        <w:rPr>
          <w:rFonts w:hint="default" w:ascii="Times New Roman" w:hAnsi="Times New Roman" w:cs="Times New Roman"/>
          <w:sz w:val="24"/>
          <w:szCs w:val="24"/>
        </w:rPr>
        <w:t>《建设用地土壤污染状况调查技术导则》（HJ 25.1-2019）；</w:t>
      </w:r>
      <w:bookmarkEnd w:id="104"/>
    </w:p>
    <w:p>
      <w:pPr>
        <w:widowControl/>
        <w:spacing w:line="360" w:lineRule="auto"/>
        <w:ind w:firstLine="480" w:firstLineChars="200"/>
        <w:jc w:val="left"/>
        <w:outlineLvl w:val="1"/>
        <w:rPr>
          <w:rFonts w:hint="default" w:ascii="Times New Roman" w:hAnsi="Times New Roman" w:cs="Times New Roman"/>
          <w:sz w:val="24"/>
          <w:szCs w:val="24"/>
        </w:rPr>
      </w:pPr>
      <w:bookmarkStart w:id="105" w:name="_Toc23335"/>
      <w:r>
        <w:rPr>
          <w:rFonts w:hint="default" w:ascii="Times New Roman" w:hAnsi="Times New Roman" w:cs="Times New Roman"/>
          <w:sz w:val="24"/>
          <w:szCs w:val="24"/>
        </w:rPr>
        <w:t>《建设用地土壤污染风险管控和修复监测技术导则》（HJ 25.2-2019）；</w:t>
      </w:r>
      <w:bookmarkEnd w:id="105"/>
    </w:p>
    <w:p>
      <w:pPr>
        <w:widowControl/>
        <w:spacing w:line="360" w:lineRule="auto"/>
        <w:ind w:firstLine="480" w:firstLineChars="200"/>
        <w:jc w:val="left"/>
        <w:outlineLvl w:val="1"/>
        <w:rPr>
          <w:rFonts w:hint="default" w:ascii="Times New Roman" w:hAnsi="Times New Roman" w:cs="Times New Roman"/>
          <w:sz w:val="24"/>
          <w:szCs w:val="24"/>
        </w:rPr>
      </w:pPr>
      <w:bookmarkStart w:id="106" w:name="_Toc1831"/>
      <w:r>
        <w:rPr>
          <w:rFonts w:hint="default" w:ascii="Times New Roman" w:hAnsi="Times New Roman" w:cs="Times New Roman"/>
          <w:sz w:val="24"/>
          <w:szCs w:val="24"/>
        </w:rPr>
        <w:t>《建设用地土壤环境调查评估技术指南》（2017年12月14日）；</w:t>
      </w:r>
      <w:bookmarkEnd w:id="106"/>
    </w:p>
    <w:p>
      <w:pPr>
        <w:widowControl/>
        <w:spacing w:line="360" w:lineRule="auto"/>
        <w:ind w:firstLine="480" w:firstLineChars="200"/>
        <w:jc w:val="left"/>
        <w:outlineLvl w:val="1"/>
        <w:rPr>
          <w:rFonts w:hint="default" w:ascii="Times New Roman" w:hAnsi="Times New Roman" w:cs="Times New Roman"/>
          <w:sz w:val="24"/>
          <w:szCs w:val="24"/>
        </w:rPr>
      </w:pPr>
      <w:bookmarkStart w:id="107" w:name="_Toc20183"/>
      <w:r>
        <w:rPr>
          <w:rFonts w:hint="default" w:ascii="Times New Roman" w:hAnsi="Times New Roman" w:cs="Times New Roman"/>
          <w:sz w:val="24"/>
          <w:szCs w:val="24"/>
        </w:rPr>
        <w:t>《土壤环境监测技术规范》（HJ/T 166 -2004）；</w:t>
      </w:r>
      <w:bookmarkEnd w:id="107"/>
    </w:p>
    <w:p>
      <w:pPr>
        <w:widowControl/>
        <w:spacing w:line="360" w:lineRule="auto"/>
        <w:ind w:firstLine="480" w:firstLineChars="200"/>
        <w:jc w:val="left"/>
        <w:outlineLvl w:val="1"/>
        <w:rPr>
          <w:rFonts w:hint="default" w:ascii="Times New Roman" w:hAnsi="Times New Roman" w:cs="Times New Roman"/>
          <w:sz w:val="24"/>
          <w:szCs w:val="24"/>
        </w:rPr>
      </w:pPr>
      <w:bookmarkStart w:id="108" w:name="_Toc17001"/>
      <w:r>
        <w:rPr>
          <w:rFonts w:hint="default" w:ascii="Times New Roman" w:hAnsi="Times New Roman" w:cs="Times New Roman"/>
          <w:sz w:val="24"/>
          <w:szCs w:val="24"/>
        </w:rPr>
        <w:t>《地下水质量标准》（GB/T 14848-2017）；</w:t>
      </w:r>
      <w:bookmarkEnd w:id="108"/>
    </w:p>
    <w:p>
      <w:pPr>
        <w:widowControl/>
        <w:spacing w:line="360" w:lineRule="auto"/>
        <w:ind w:firstLine="480" w:firstLineChars="200"/>
        <w:jc w:val="left"/>
        <w:outlineLvl w:val="1"/>
        <w:rPr>
          <w:rFonts w:hint="default" w:ascii="Times New Roman" w:hAnsi="Times New Roman" w:cs="Times New Roman"/>
          <w:sz w:val="24"/>
          <w:szCs w:val="24"/>
        </w:rPr>
      </w:pPr>
      <w:bookmarkStart w:id="109" w:name="_Toc16066"/>
      <w:r>
        <w:rPr>
          <w:rFonts w:hint="default" w:ascii="Times New Roman" w:hAnsi="Times New Roman" w:cs="Times New Roman"/>
          <w:sz w:val="24"/>
          <w:szCs w:val="24"/>
        </w:rPr>
        <w:t>《地表水和污水监测技术规范》（HJ/T 91-2002）；</w:t>
      </w:r>
      <w:bookmarkEnd w:id="109"/>
    </w:p>
    <w:p>
      <w:pPr>
        <w:widowControl/>
        <w:spacing w:line="360" w:lineRule="auto"/>
        <w:ind w:firstLine="480" w:firstLineChars="200"/>
        <w:jc w:val="left"/>
        <w:outlineLvl w:val="1"/>
        <w:rPr>
          <w:rFonts w:hint="default" w:ascii="Times New Roman" w:hAnsi="Times New Roman" w:cs="Times New Roman"/>
          <w:sz w:val="24"/>
          <w:szCs w:val="24"/>
        </w:rPr>
      </w:pPr>
      <w:bookmarkStart w:id="110" w:name="_Toc24512"/>
      <w:r>
        <w:rPr>
          <w:rFonts w:hint="default" w:ascii="Times New Roman" w:hAnsi="Times New Roman" w:cs="Times New Roman"/>
          <w:sz w:val="24"/>
          <w:szCs w:val="24"/>
        </w:rPr>
        <w:t>《地表水环境质量标准》（GB 3838-2002）；</w:t>
      </w:r>
      <w:bookmarkEnd w:id="110"/>
    </w:p>
    <w:p>
      <w:pPr>
        <w:widowControl/>
        <w:spacing w:line="360" w:lineRule="auto"/>
        <w:ind w:firstLine="480" w:firstLineChars="200"/>
        <w:jc w:val="left"/>
        <w:outlineLvl w:val="1"/>
        <w:rPr>
          <w:rFonts w:hint="default" w:ascii="Times New Roman" w:hAnsi="Times New Roman" w:cs="Times New Roman"/>
          <w:sz w:val="24"/>
          <w:szCs w:val="24"/>
        </w:rPr>
      </w:pPr>
      <w:bookmarkStart w:id="111" w:name="_Toc10522"/>
      <w:r>
        <w:rPr>
          <w:rFonts w:hint="default" w:ascii="Times New Roman" w:hAnsi="Times New Roman" w:cs="Times New Roman"/>
          <w:sz w:val="24"/>
          <w:szCs w:val="24"/>
        </w:rPr>
        <w:t>《水质采样 样品的保存和管理技术规定》（HJ 493-2009）；</w:t>
      </w:r>
      <w:bookmarkEnd w:id="111"/>
    </w:p>
    <w:p>
      <w:pPr>
        <w:widowControl/>
        <w:spacing w:line="360" w:lineRule="auto"/>
        <w:ind w:firstLine="480" w:firstLineChars="200"/>
        <w:jc w:val="left"/>
        <w:outlineLvl w:val="1"/>
        <w:rPr>
          <w:rFonts w:hint="default" w:ascii="Times New Roman" w:hAnsi="Times New Roman" w:cs="Times New Roman"/>
          <w:sz w:val="24"/>
          <w:szCs w:val="24"/>
        </w:rPr>
      </w:pPr>
      <w:bookmarkStart w:id="112" w:name="_Toc15547"/>
      <w:r>
        <w:rPr>
          <w:rFonts w:hint="default" w:ascii="Times New Roman" w:hAnsi="Times New Roman" w:cs="Times New Roman"/>
          <w:sz w:val="24"/>
          <w:szCs w:val="24"/>
        </w:rPr>
        <w:t>《地下水环境监测技术规范》( HJ/T 164-2004）；</w:t>
      </w:r>
      <w:bookmarkEnd w:id="112"/>
    </w:p>
    <w:p>
      <w:pPr>
        <w:widowControl/>
        <w:spacing w:line="360" w:lineRule="auto"/>
        <w:ind w:firstLine="480" w:firstLineChars="200"/>
        <w:jc w:val="left"/>
        <w:outlineLvl w:val="1"/>
        <w:rPr>
          <w:rFonts w:hint="default" w:ascii="Times New Roman" w:hAnsi="Times New Roman" w:cs="Times New Roman"/>
          <w:sz w:val="24"/>
          <w:szCs w:val="24"/>
        </w:rPr>
      </w:pPr>
      <w:bookmarkStart w:id="113" w:name="_Toc28236"/>
      <w:r>
        <w:rPr>
          <w:rFonts w:hint="default" w:ascii="Times New Roman" w:hAnsi="Times New Roman" w:cs="Times New Roman"/>
          <w:sz w:val="24"/>
          <w:szCs w:val="24"/>
        </w:rPr>
        <w:t>《地块土壤和地下水中挥发性有机物采样技术导则》（HJ 1019-2019）；</w:t>
      </w:r>
      <w:bookmarkEnd w:id="113"/>
    </w:p>
    <w:p>
      <w:pPr>
        <w:widowControl/>
        <w:spacing w:line="360" w:lineRule="auto"/>
        <w:ind w:firstLine="480" w:firstLineChars="200"/>
        <w:jc w:val="left"/>
        <w:outlineLvl w:val="1"/>
        <w:rPr>
          <w:rFonts w:hint="default" w:ascii="Times New Roman" w:hAnsi="Times New Roman" w:cs="Times New Roman"/>
          <w:sz w:val="24"/>
          <w:szCs w:val="24"/>
        </w:rPr>
      </w:pPr>
      <w:bookmarkStart w:id="114" w:name="_Toc11868"/>
      <w:r>
        <w:rPr>
          <w:rFonts w:hint="default" w:ascii="Times New Roman" w:hAnsi="Times New Roman" w:cs="Times New Roman"/>
          <w:sz w:val="24"/>
          <w:szCs w:val="24"/>
        </w:rPr>
        <w:t>《土壤环境质量 建设用地土壤污染风险管控标准（试行）》(GB 36600-2018)；</w:t>
      </w:r>
      <w:bookmarkEnd w:id="114"/>
    </w:p>
    <w:p>
      <w:pPr>
        <w:widowControl/>
        <w:spacing w:line="360" w:lineRule="auto"/>
        <w:ind w:firstLine="480" w:firstLineChars="200"/>
        <w:jc w:val="left"/>
        <w:outlineLvl w:val="1"/>
        <w:rPr>
          <w:rFonts w:hint="default" w:ascii="Times New Roman" w:hAnsi="Times New Roman" w:cs="Times New Roman"/>
          <w:sz w:val="24"/>
          <w:szCs w:val="24"/>
        </w:rPr>
      </w:pPr>
      <w:bookmarkStart w:id="115" w:name="_Toc29574"/>
      <w:r>
        <w:rPr>
          <w:rFonts w:hint="default" w:ascii="Times New Roman" w:hAnsi="Times New Roman" w:cs="Times New Roman"/>
          <w:sz w:val="24"/>
          <w:szCs w:val="24"/>
        </w:rPr>
        <w:t>《原状土取样技术标准》（JBJ 89-92）；</w:t>
      </w:r>
      <w:bookmarkEnd w:id="115"/>
    </w:p>
    <w:p>
      <w:pPr>
        <w:widowControl/>
        <w:spacing w:line="360" w:lineRule="auto"/>
        <w:ind w:firstLine="480" w:firstLineChars="200"/>
        <w:jc w:val="left"/>
        <w:outlineLvl w:val="1"/>
        <w:rPr>
          <w:rFonts w:hint="default" w:ascii="Times New Roman" w:hAnsi="Times New Roman" w:cs="Times New Roman"/>
          <w:sz w:val="24"/>
          <w:szCs w:val="24"/>
        </w:rPr>
      </w:pPr>
      <w:bookmarkStart w:id="116" w:name="_Toc4329"/>
      <w:r>
        <w:rPr>
          <w:rFonts w:hint="default" w:ascii="Times New Roman" w:hAnsi="Times New Roman" w:cs="Times New Roman"/>
          <w:sz w:val="24"/>
          <w:szCs w:val="24"/>
        </w:rPr>
        <w:t>《土的工程分类标准》（GB/T 50145-2007）；</w:t>
      </w:r>
      <w:bookmarkEnd w:id="116"/>
    </w:p>
    <w:p>
      <w:pPr>
        <w:widowControl/>
        <w:spacing w:line="360" w:lineRule="auto"/>
        <w:ind w:firstLine="480" w:firstLineChars="200"/>
        <w:jc w:val="left"/>
        <w:outlineLvl w:val="1"/>
        <w:rPr>
          <w:rFonts w:hint="default" w:ascii="Times New Roman" w:hAnsi="Times New Roman" w:cs="Times New Roman"/>
          <w:sz w:val="24"/>
          <w:szCs w:val="24"/>
        </w:rPr>
      </w:pPr>
      <w:bookmarkStart w:id="117" w:name="_Toc15182"/>
      <w:r>
        <w:rPr>
          <w:rFonts w:hint="default" w:ascii="Times New Roman" w:hAnsi="Times New Roman" w:cs="Times New Roman"/>
          <w:sz w:val="24"/>
          <w:szCs w:val="24"/>
        </w:rPr>
        <w:t>《一般</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"https://baike.baidu.com/item/%E5%B7%A5%E4%B8%9A%E5%9B%BA%E4%BD%93%E5%BA%9F%E7%89%A9" \t "https://baike.baidu.com/item/%E4%B8%80%E8%88%AC%E5%B7%A5%E4%B8%9A%E5%9B%BA%E4%BD%93%E5%BA%9F%E7%89%A9%E8%B4%AE%E5%AD%98/_blank"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工业固体废物</w:t>
      </w:r>
      <w:r>
        <w:rPr>
          <w:rFonts w:hint="default" w:ascii="Times New Roman" w:hAnsi="Times New Roman" w:cs="Times New Roman"/>
          <w:sz w:val="24"/>
          <w:szCs w:val="24"/>
        </w:rPr>
        <w:fldChar w:fldCharType="end"/>
      </w:r>
      <w:r>
        <w:rPr>
          <w:rFonts w:hint="default" w:ascii="Times New Roman" w:hAnsi="Times New Roman" w:cs="Times New Roman"/>
          <w:sz w:val="24"/>
          <w:szCs w:val="24"/>
        </w:rPr>
        <w:t>贮存、处置场污染控制标准》（GB 18599-2001）。</w:t>
      </w:r>
      <w:bookmarkEnd w:id="117"/>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18" w:name="_Toc6372"/>
      <w:bookmarkStart w:id="119" w:name="_Toc8230"/>
      <w:bookmarkStart w:id="120" w:name="_Toc9327"/>
      <w:r>
        <w:rPr>
          <w:rFonts w:hint="default" w:ascii="Times New Roman" w:hAnsi="Times New Roman" w:cs="Times New Roman"/>
          <w:b/>
          <w:kern w:val="0"/>
          <w:sz w:val="28"/>
          <w:szCs w:val="26"/>
        </w:rPr>
        <w:t>1.7技术路线</w:t>
      </w:r>
      <w:bookmarkEnd w:id="77"/>
      <w:bookmarkEnd w:id="78"/>
      <w:bookmarkEnd w:id="79"/>
      <w:bookmarkEnd w:id="80"/>
      <w:bookmarkEnd w:id="81"/>
      <w:bookmarkEnd w:id="82"/>
      <w:bookmarkEnd w:id="83"/>
      <w:bookmarkEnd w:id="84"/>
      <w:bookmarkEnd w:id="85"/>
      <w:bookmarkEnd w:id="118"/>
      <w:bookmarkEnd w:id="119"/>
      <w:bookmarkEnd w:id="120"/>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建设用地土壤污染状况调查技术导则》（HJ25.1-2019），地块土壤污染状况调查分为三个阶段，本次调查工作按照阶段的划分，主要包括第一阶段的全部工作以及第二阶段的前期初步采样分析工作，技术路线详见图2。</w:t>
      </w:r>
    </w:p>
    <w:p>
      <w:pPr>
        <w:widowControl/>
        <w:spacing w:line="360" w:lineRule="auto"/>
        <w:ind w:firstLine="480" w:firstLineChars="200"/>
        <w:jc w:val="left"/>
        <w:rPr>
          <w:rFonts w:hAnsi="宋体"/>
          <w:sz w:val="24"/>
          <w:szCs w:val="24"/>
        </w:rPr>
      </w:pPr>
      <w:r>
        <w:rPr>
          <w:rFonts w:hint="eastAsia" w:hAnsi="宋体"/>
          <w:sz w:val="24"/>
          <w:szCs w:val="24"/>
        </w:rPr>
        <w:drawing>
          <wp:inline distT="0" distB="0" distL="114300" distR="114300">
            <wp:extent cx="4676140" cy="6200140"/>
            <wp:effectExtent l="0" t="0" r="2540" b="2540"/>
            <wp:docPr id="3" name="图片 2" descr="C:\Users\Administrator\AppData\Roaming\Tencent\Users\279750127\QQ\WinTemp\RichOle\Z2P`8R0U0YG~ZT3LHY4NX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AppData\Roaming\Tencent\Users\279750127\QQ\WinTemp\RichOle\Z2P`8R0U0YG~ZT3LHY4NXE8.png"/>
                    <pic:cNvPicPr>
                      <a:picLocks noChangeAspect="1"/>
                    </pic:cNvPicPr>
                  </pic:nvPicPr>
                  <pic:blipFill>
                    <a:blip r:embed="rId9"/>
                    <a:stretch>
                      <a:fillRect/>
                    </a:stretch>
                  </pic:blipFill>
                  <pic:spPr>
                    <a:xfrm>
                      <a:off x="0" y="0"/>
                      <a:ext cx="4676140" cy="6200140"/>
                    </a:xfrm>
                    <a:prstGeom prst="rect">
                      <a:avLst/>
                    </a:prstGeom>
                    <a:noFill/>
                    <a:ln>
                      <a:noFill/>
                    </a:ln>
                  </pic:spPr>
                </pic:pic>
              </a:graphicData>
            </a:graphic>
          </wp:inline>
        </w:drawing>
      </w:r>
    </w:p>
    <w:p>
      <w:pPr>
        <w:widowControl/>
        <w:spacing w:line="360" w:lineRule="auto"/>
        <w:ind w:firstLine="482" w:firstLineChars="200"/>
        <w:jc w:val="center"/>
        <w:rPr>
          <w:rFonts w:hAnsi="宋体"/>
          <w:b/>
          <w:bCs/>
          <w:sz w:val="24"/>
          <w:szCs w:val="24"/>
        </w:rPr>
      </w:pPr>
      <w:r>
        <w:rPr>
          <w:rFonts w:hint="eastAsia" w:hAnsi="宋体"/>
          <w:b/>
          <w:bCs/>
          <w:sz w:val="24"/>
          <w:szCs w:val="24"/>
        </w:rPr>
        <w:t>图2技术路线图</w:t>
      </w:r>
    </w:p>
    <w:p>
      <w:pPr>
        <w:widowControl/>
        <w:spacing w:line="360" w:lineRule="auto"/>
        <w:ind w:firstLine="480" w:firstLineChars="200"/>
        <w:jc w:val="left"/>
        <w:outlineLvl w:val="1"/>
        <w:rPr>
          <w:rFonts w:hint="default" w:ascii="Times New Roman" w:hAnsi="Times New Roman" w:cs="Times New Roman"/>
          <w:sz w:val="24"/>
          <w:szCs w:val="24"/>
        </w:rPr>
      </w:pPr>
      <w:bookmarkStart w:id="121" w:name="_Toc1806"/>
      <w:bookmarkStart w:id="122" w:name="_Toc13738"/>
      <w:bookmarkStart w:id="123" w:name="_Toc31873"/>
      <w:bookmarkStart w:id="124" w:name="_Toc31459"/>
      <w:r>
        <w:rPr>
          <w:rFonts w:hint="default" w:ascii="Times New Roman" w:hAnsi="Times New Roman" w:cs="Times New Roman"/>
          <w:sz w:val="24"/>
          <w:szCs w:val="24"/>
        </w:rPr>
        <w:t>（1）第一阶段调查—污染识别</w:t>
      </w:r>
      <w:bookmarkEnd w:id="121"/>
      <w:bookmarkEnd w:id="122"/>
      <w:bookmarkEnd w:id="123"/>
      <w:bookmarkEnd w:id="124"/>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通过资料收集与分析、现场踏勘和人员访谈等方式，尽可能完整的收集地块历史生产时期的资料，掌握地块现状。对资料加以分析核实，尽可能完整和准确的判断地块的潜在污染区域及污染物，进行不确定性分析，为下一步现场样品采集、测试分析工作提供依据。</w:t>
      </w:r>
    </w:p>
    <w:p>
      <w:pPr>
        <w:widowControl/>
        <w:spacing w:line="360" w:lineRule="auto"/>
        <w:ind w:firstLine="480" w:firstLineChars="200"/>
        <w:jc w:val="left"/>
        <w:outlineLvl w:val="1"/>
        <w:rPr>
          <w:rFonts w:hint="default" w:ascii="Times New Roman" w:hAnsi="Times New Roman" w:cs="Times New Roman"/>
          <w:sz w:val="24"/>
          <w:szCs w:val="24"/>
        </w:rPr>
      </w:pPr>
      <w:bookmarkStart w:id="125" w:name="_Toc8527"/>
      <w:bookmarkStart w:id="126" w:name="_Toc4439"/>
      <w:bookmarkStart w:id="127" w:name="_Toc28087"/>
      <w:bookmarkStart w:id="128" w:name="_Toc25719"/>
      <w:r>
        <w:rPr>
          <w:rFonts w:hint="default" w:ascii="Times New Roman" w:hAnsi="Times New Roman" w:cs="Times New Roman"/>
          <w:sz w:val="24"/>
          <w:szCs w:val="24"/>
        </w:rPr>
        <w:t>（2）第二阶段调查—采样分析</w:t>
      </w:r>
      <w:bookmarkEnd w:id="125"/>
      <w:bookmarkEnd w:id="126"/>
      <w:bookmarkEnd w:id="127"/>
      <w:bookmarkEnd w:id="128"/>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第一阶段污染识别结果，并结合地块内具体情况、水文地质条件及污染物迁移转化等因素，有针对性的制定采样计划，采用专业采样设备采集样品，并委托具有资质的检测单位进行样品检测，对检测数据进行分析评估，提出地块下一步工作建议。</w:t>
      </w:r>
    </w:p>
    <w:p>
      <w:pPr>
        <w:widowControl/>
        <w:spacing w:line="360" w:lineRule="auto"/>
        <w:ind w:firstLine="480" w:firstLineChars="200"/>
        <w:jc w:val="left"/>
        <w:rPr>
          <w:rFonts w:hint="default" w:ascii="Times New Roman" w:hAnsi="Times New Roman" w:cs="Times New Roman"/>
          <w:sz w:val="24"/>
          <w:szCs w:val="24"/>
        </w:rPr>
        <w:sectPr>
          <w:footerReference r:id="rId3" w:type="default"/>
          <w:pgSz w:w="11906" w:h="16838"/>
          <w:pgMar w:top="1440" w:right="1800" w:bottom="1440" w:left="1800" w:header="851" w:footer="992" w:gutter="0"/>
          <w:pgNumType w:fmt="decimal" w:start="1"/>
          <w:cols w:space="720" w:num="1"/>
          <w:docGrid w:type="lines" w:linePitch="312" w:charSpace="0"/>
        </w:sectPr>
      </w:pPr>
    </w:p>
    <w:p>
      <w:pPr>
        <w:pStyle w:val="4"/>
        <w:keepNext w:val="0"/>
        <w:keepLines w:val="0"/>
        <w:spacing w:line="360" w:lineRule="auto"/>
        <w:ind w:firstLine="0" w:firstLineChars="0"/>
        <w:contextualSpacing/>
        <w:jc w:val="center"/>
        <w:rPr>
          <w:rFonts w:hint="default" w:ascii="Times New Roman" w:hAnsi="Times New Roman" w:eastAsia="黑体" w:cs="Times New Roman"/>
          <w:bCs/>
          <w:kern w:val="2"/>
          <w:sz w:val="30"/>
          <w:szCs w:val="28"/>
        </w:rPr>
      </w:pPr>
      <w:bookmarkStart w:id="129" w:name="_Toc7265"/>
      <w:bookmarkStart w:id="130" w:name="_Toc10054"/>
      <w:bookmarkStart w:id="131" w:name="_Toc3969"/>
      <w:bookmarkStart w:id="132" w:name="_Toc22543"/>
      <w:bookmarkStart w:id="133" w:name="_Toc2272"/>
      <w:bookmarkStart w:id="134" w:name="_Toc29447"/>
      <w:bookmarkStart w:id="135" w:name="_Toc12302"/>
      <w:bookmarkStart w:id="136" w:name="_Toc17646"/>
      <w:bookmarkStart w:id="137" w:name="_Toc2467"/>
      <w:bookmarkStart w:id="138" w:name="_Toc48673370"/>
      <w:bookmarkStart w:id="139" w:name="_Toc27577056"/>
      <w:r>
        <w:rPr>
          <w:rFonts w:hint="default" w:ascii="Times New Roman" w:hAnsi="Times New Roman" w:eastAsia="黑体" w:cs="Times New Roman"/>
          <w:bCs/>
          <w:kern w:val="2"/>
          <w:sz w:val="30"/>
          <w:szCs w:val="28"/>
        </w:rPr>
        <w:t>2地块概况</w:t>
      </w:r>
      <w:bookmarkEnd w:id="129"/>
      <w:bookmarkEnd w:id="130"/>
      <w:bookmarkEnd w:id="131"/>
      <w:bookmarkEnd w:id="132"/>
      <w:bookmarkEnd w:id="133"/>
      <w:bookmarkEnd w:id="134"/>
      <w:bookmarkEnd w:id="135"/>
      <w:bookmarkEnd w:id="136"/>
      <w:bookmarkEnd w:id="137"/>
      <w:bookmarkEnd w:id="138"/>
      <w:bookmarkEnd w:id="139"/>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40" w:name="_Toc27577057"/>
      <w:bookmarkStart w:id="141" w:name="_Toc24456"/>
      <w:bookmarkStart w:id="142" w:name="_Toc8886"/>
      <w:bookmarkStart w:id="143" w:name="_Toc27827"/>
      <w:bookmarkStart w:id="144" w:name="_Toc3063"/>
      <w:bookmarkStart w:id="145" w:name="_Toc4731"/>
      <w:bookmarkStart w:id="146" w:name="_Toc18937"/>
      <w:bookmarkStart w:id="147" w:name="_Toc10044"/>
      <w:bookmarkStart w:id="148" w:name="_Toc12709"/>
      <w:r>
        <w:rPr>
          <w:rFonts w:hint="default" w:ascii="Times New Roman" w:hAnsi="Times New Roman" w:cs="Times New Roman"/>
          <w:b/>
          <w:kern w:val="0"/>
          <w:sz w:val="28"/>
          <w:szCs w:val="26"/>
        </w:rPr>
        <w:t>2.1地块地理位置</w:t>
      </w:r>
      <w:bookmarkEnd w:id="140"/>
      <w:bookmarkEnd w:id="141"/>
      <w:bookmarkEnd w:id="142"/>
      <w:bookmarkEnd w:id="143"/>
      <w:bookmarkEnd w:id="144"/>
      <w:bookmarkEnd w:id="145"/>
      <w:bookmarkEnd w:id="146"/>
      <w:bookmarkEnd w:id="147"/>
      <w:bookmarkEnd w:id="148"/>
    </w:p>
    <w:p>
      <w:pPr>
        <w:widowControl/>
        <w:spacing w:line="360" w:lineRule="auto"/>
        <w:ind w:firstLine="480" w:firstLineChars="200"/>
        <w:jc w:val="left"/>
        <w:rPr>
          <w:rFonts w:hint="default" w:ascii="Times New Roman" w:hAnsi="Times New Roman" w:cs="Times New Roman"/>
          <w:sz w:val="24"/>
          <w:szCs w:val="24"/>
        </w:rPr>
      </w:pPr>
      <w:r>
        <w:rPr>
          <w:rFonts w:hint="eastAsia"/>
          <w:sz w:val="24"/>
          <w:szCs w:val="24"/>
        </w:rPr>
        <w:t>卫滨区，隶属于河南省新乡市，位于新乡市区西南部，北部以卫河为界，东部以胜利路-化工路-和平路中心线为界，南部、西部以平原乡的自然界为界。</w:t>
      </w:r>
      <w:r>
        <w:rPr>
          <w:rFonts w:hint="eastAsia" w:ascii="Times New Roman" w:hAnsi="Times New Roman" w:cs="Times New Roman"/>
          <w:sz w:val="24"/>
          <w:szCs w:val="24"/>
          <w:lang w:eastAsia="zh-CN"/>
        </w:rPr>
        <w:t>河南经济贸易技师学校扩建项目</w:t>
      </w:r>
      <w:r>
        <w:rPr>
          <w:rFonts w:hint="default" w:ascii="Times New Roman" w:hAnsi="Times New Roman" w:cs="Times New Roman"/>
          <w:sz w:val="24"/>
          <w:szCs w:val="24"/>
          <w:lang w:eastAsia="zh-CN"/>
        </w:rPr>
        <w:t>地块</w:t>
      </w:r>
      <w:r>
        <w:rPr>
          <w:rFonts w:hint="default" w:ascii="Times New Roman" w:hAnsi="Times New Roman" w:cs="Times New Roman"/>
          <w:sz w:val="24"/>
          <w:szCs w:val="24"/>
        </w:rPr>
        <w:t>位于</w:t>
      </w:r>
      <w:r>
        <w:rPr>
          <w:rFonts w:hint="eastAsia" w:ascii="Times New Roman" w:hAnsi="Times New Roman" w:cs="Times New Roman"/>
          <w:sz w:val="24"/>
          <w:szCs w:val="24"/>
          <w:lang w:eastAsia="zh-CN"/>
        </w:rPr>
        <w:t>卫滨</w:t>
      </w:r>
      <w:r>
        <w:rPr>
          <w:rFonts w:hint="default" w:ascii="Times New Roman" w:hAnsi="Times New Roman" w:cs="Times New Roman"/>
          <w:sz w:val="24"/>
          <w:szCs w:val="24"/>
        </w:rPr>
        <w:t>区东北部，中心坐标为东经113</w:t>
      </w:r>
      <w:r>
        <w:rPr>
          <w:rFonts w:hint="eastAsia" w:ascii="Times New Roman" w:hAnsi="Times New Roman" w:cs="Times New Roman"/>
          <w:sz w:val="24"/>
          <w:szCs w:val="24"/>
          <w:lang w:val="en-US" w:eastAsia="zh-CN"/>
        </w:rPr>
        <w:t>.88135910°，</w:t>
      </w:r>
      <w:r>
        <w:rPr>
          <w:rFonts w:hint="default" w:ascii="Times New Roman" w:hAnsi="Times New Roman" w:cs="Times New Roman"/>
          <w:sz w:val="24"/>
          <w:szCs w:val="24"/>
        </w:rPr>
        <w:t>北纬</w:t>
      </w:r>
      <w:bookmarkStart w:id="149" w:name="_Toc28642"/>
      <w:bookmarkStart w:id="150" w:name="_Toc27577058"/>
      <w:bookmarkStart w:id="151" w:name="_Toc22991"/>
      <w:bookmarkStart w:id="152" w:name="_Toc29508"/>
      <w:bookmarkStart w:id="153" w:name="_Toc5918"/>
      <w:bookmarkStart w:id="154" w:name="_Toc20510"/>
      <w:r>
        <w:rPr>
          <w:rFonts w:hint="default" w:ascii="Times New Roman" w:hAnsi="Times New Roman" w:cs="Times New Roman"/>
          <w:sz w:val="24"/>
          <w:szCs w:val="24"/>
        </w:rPr>
        <w:t>35</w:t>
      </w:r>
      <w:r>
        <w:rPr>
          <w:rFonts w:hint="eastAsia" w:ascii="Times New Roman" w:hAnsi="Times New Roman" w:cs="Times New Roman"/>
          <w:sz w:val="24"/>
          <w:szCs w:val="24"/>
          <w:lang w:val="en-US" w:eastAsia="zh-CN"/>
        </w:rPr>
        <w:t>.26519123</w:t>
      </w:r>
      <w:r>
        <w:rPr>
          <w:rFonts w:hint="default" w:ascii="Times New Roman" w:hAnsi="Times New Roman" w:cs="Times New Roman"/>
          <w:sz w:val="24"/>
          <w:szCs w:val="24"/>
        </w:rPr>
        <w:t>°。</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55" w:name="_Toc10156"/>
      <w:bookmarkStart w:id="156" w:name="_Toc28084"/>
      <w:bookmarkStart w:id="157" w:name="_Toc32064"/>
      <w:r>
        <w:rPr>
          <w:rFonts w:hint="default" w:ascii="Times New Roman" w:hAnsi="Times New Roman" w:cs="Times New Roman"/>
          <w:b/>
          <w:kern w:val="0"/>
          <w:sz w:val="28"/>
          <w:szCs w:val="26"/>
        </w:rPr>
        <w:t>2.2气象、水文</w:t>
      </w:r>
      <w:bookmarkEnd w:id="149"/>
      <w:bookmarkEnd w:id="150"/>
      <w:bookmarkEnd w:id="151"/>
      <w:bookmarkEnd w:id="152"/>
      <w:bookmarkEnd w:id="153"/>
      <w:bookmarkEnd w:id="154"/>
      <w:bookmarkEnd w:id="155"/>
      <w:bookmarkEnd w:id="156"/>
      <w:bookmarkEnd w:id="157"/>
    </w:p>
    <w:p>
      <w:pPr>
        <w:pStyle w:val="5"/>
        <w:keepNext w:val="0"/>
        <w:keepLines w:val="0"/>
        <w:widowControl/>
        <w:spacing w:line="360" w:lineRule="auto"/>
        <w:contextualSpacing/>
        <w:jc w:val="left"/>
        <w:rPr>
          <w:rFonts w:hint="default" w:ascii="Times New Roman" w:hAnsi="Times New Roman" w:cs="Times New Roman"/>
          <w:b/>
          <w:kern w:val="0"/>
          <w:sz w:val="28"/>
          <w:szCs w:val="26"/>
        </w:rPr>
      </w:pPr>
      <w:bookmarkStart w:id="158" w:name="_Toc21448"/>
      <w:bookmarkStart w:id="159" w:name="_Toc24375"/>
      <w:bookmarkStart w:id="160" w:name="_Toc2587"/>
      <w:bookmarkStart w:id="161" w:name="_Toc32333"/>
      <w:bookmarkStart w:id="162" w:name="_Toc18940"/>
      <w:r>
        <w:rPr>
          <w:rFonts w:hint="default" w:ascii="Times New Roman" w:hAnsi="Times New Roman" w:cs="Times New Roman"/>
          <w:b/>
          <w:kern w:val="0"/>
          <w:sz w:val="28"/>
          <w:szCs w:val="26"/>
        </w:rPr>
        <w:t>2.2.1气象</w:t>
      </w:r>
      <w:bookmarkEnd w:id="158"/>
      <w:bookmarkEnd w:id="159"/>
      <w:bookmarkEnd w:id="160"/>
      <w:bookmarkEnd w:id="161"/>
      <w:bookmarkEnd w:id="162"/>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新乡市地处中纬度地带，气候属暖温带大陆性季风气候，季节变化明显，春季干燥少雨；夏季炎热高温，降雨集中；秋季天高气爽，气候宜人；冬季寒冷，较少雨雪。多年统计气象参数见下表2。</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表2新乡市多年统计气象参数一览表</w:t>
      </w:r>
    </w:p>
    <w:tbl>
      <w:tblPr>
        <w:tblStyle w:val="9"/>
        <w:tblW w:w="8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3155"/>
        <w:gridCol w:w="4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项目</w:t>
            </w: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参数名称</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统计数字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restart"/>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气温</w:t>
            </w: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历年平均气温</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历年最高气温</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42.7℃（1951年6月20日）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历年最低气温</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-21.3℃（1951年1月13日）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restart"/>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降水</w:t>
            </w: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历年平均降水</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617.8mm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历年最大降水</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1168.4mm（1963年）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历年最小降水</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337.2mm（1978年）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最大年积雪厚度</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199mm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restart"/>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风</w:t>
            </w:r>
          </w:p>
        </w:tc>
        <w:tc>
          <w:tcPr>
            <w:tcW w:w="3155" w:type="dxa"/>
            <w:vMerge w:val="restart"/>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历年盛行风向</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东北风频率15%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vMerge w:val="continue"/>
            <w:noWrap/>
            <w:vAlign w:val="center"/>
          </w:tcPr>
          <w:p>
            <w:pPr>
              <w:widowControl/>
              <w:spacing w:line="360" w:lineRule="auto"/>
              <w:ind w:firstLine="480" w:firstLineChars="200"/>
              <w:jc w:val="left"/>
              <w:rPr>
                <w:rFonts w:hint="default" w:ascii="Times New Roman" w:hAnsi="Times New Roman" w:cs="Times New Roman"/>
                <w:sz w:val="24"/>
                <w:szCs w:val="24"/>
              </w:rPr>
            </w:pP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西南风频率7%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vMerge w:val="continue"/>
            <w:noWrap/>
            <w:vAlign w:val="center"/>
          </w:tcPr>
          <w:p>
            <w:pPr>
              <w:widowControl/>
              <w:spacing w:line="360" w:lineRule="auto"/>
              <w:ind w:firstLine="480" w:firstLineChars="200"/>
              <w:jc w:val="left"/>
              <w:rPr>
                <w:rFonts w:hint="default" w:ascii="Times New Roman" w:hAnsi="Times New Roman" w:cs="Times New Roman"/>
                <w:sz w:val="24"/>
                <w:szCs w:val="24"/>
              </w:rPr>
            </w:pP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南风频率6%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年平均风速</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2.6m/s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最大年风速</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32m/s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center"/>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最大年风力</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8级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restart"/>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其它</w:t>
            </w: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历年均日照</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2382h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left"/>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历年均无霜期</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221d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1082" w:type="dxa"/>
            <w:vMerge w:val="continue"/>
            <w:noWrap/>
            <w:vAlign w:val="center"/>
          </w:tcPr>
          <w:p>
            <w:pPr>
              <w:widowControl/>
              <w:spacing w:line="360" w:lineRule="auto"/>
              <w:ind w:firstLine="480" w:firstLineChars="200"/>
              <w:jc w:val="left"/>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最大年冻土深度</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1082" w:type="dxa"/>
            <w:vMerge w:val="continue"/>
            <w:noWrap/>
            <w:vAlign w:val="center"/>
          </w:tcPr>
          <w:p>
            <w:pPr>
              <w:widowControl/>
              <w:spacing w:line="360" w:lineRule="auto"/>
              <w:ind w:firstLine="480" w:firstLineChars="200"/>
              <w:jc w:val="left"/>
              <w:rPr>
                <w:rFonts w:hint="default" w:ascii="Times New Roman" w:hAnsi="Times New Roman" w:cs="Times New Roman"/>
                <w:sz w:val="24"/>
                <w:szCs w:val="24"/>
              </w:rPr>
            </w:pPr>
          </w:p>
        </w:tc>
        <w:tc>
          <w:tcPr>
            <w:tcW w:w="3155"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历年平均湿度</w:t>
            </w:r>
          </w:p>
        </w:tc>
        <w:tc>
          <w:tcPr>
            <w:tcW w:w="418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68%</w:t>
            </w:r>
          </w:p>
        </w:tc>
      </w:tr>
    </w:tbl>
    <w:p>
      <w:pPr>
        <w:pStyle w:val="5"/>
        <w:keepNext w:val="0"/>
        <w:keepLines w:val="0"/>
        <w:widowControl/>
        <w:spacing w:line="360" w:lineRule="auto"/>
        <w:contextualSpacing/>
        <w:jc w:val="left"/>
        <w:rPr>
          <w:rFonts w:hint="default" w:ascii="Times New Roman" w:hAnsi="Times New Roman" w:cs="Times New Roman"/>
          <w:b/>
          <w:kern w:val="0"/>
          <w:sz w:val="28"/>
          <w:szCs w:val="26"/>
        </w:rPr>
      </w:pPr>
      <w:bookmarkStart w:id="163" w:name="_Toc10556"/>
      <w:bookmarkStart w:id="164" w:name="_Toc24710"/>
      <w:bookmarkStart w:id="165" w:name="_Toc8140"/>
      <w:bookmarkStart w:id="166" w:name="_Toc25673256"/>
      <w:bookmarkStart w:id="167" w:name="_Toc17596"/>
      <w:r>
        <w:rPr>
          <w:rFonts w:hint="default" w:ascii="Times New Roman" w:hAnsi="Times New Roman" w:cs="Times New Roman"/>
          <w:b/>
          <w:kern w:val="0"/>
          <w:sz w:val="28"/>
          <w:szCs w:val="26"/>
        </w:rPr>
        <w:t>2.2.2水文</w:t>
      </w:r>
      <w:bookmarkEnd w:id="163"/>
      <w:bookmarkEnd w:id="164"/>
      <w:bookmarkEnd w:id="165"/>
      <w:bookmarkEnd w:id="166"/>
      <w:bookmarkEnd w:id="167"/>
    </w:p>
    <w:p>
      <w:pPr>
        <w:widowControl/>
        <w:spacing w:line="360" w:lineRule="auto"/>
        <w:ind w:firstLine="480" w:firstLineChars="200"/>
        <w:jc w:val="left"/>
        <w:rPr>
          <w:rFonts w:hint="default" w:ascii="Times New Roman" w:hAnsi="Times New Roman" w:cs="Times New Roman"/>
          <w:sz w:val="24"/>
          <w:szCs w:val="24"/>
        </w:rPr>
      </w:pPr>
      <w:bookmarkStart w:id="168" w:name="_Toc27577059"/>
      <w:r>
        <w:rPr>
          <w:rFonts w:hint="default" w:ascii="Times New Roman" w:hAnsi="Times New Roman" w:cs="Times New Roman"/>
          <w:sz w:val="24"/>
          <w:szCs w:val="24"/>
        </w:rPr>
        <w:t>新乡市水资源总量的年际分配很不均匀，其多年平均水资源总量为17.94亿m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，人均占有量只有339m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，仅及全国人均占有量的1/7。</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新乡市境地表水资源量主要包括过境天然地表径流量、上游中、小型水库的可供水量及引黄水三部分组成。多年平均值为8.55亿m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新乡地区地下水资源量为10.8亿m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，目前，市境内的地下水的开发利用，主要分布在平原区。1999年全市浅层水开采量约11.56亿m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，其中农业开采量9.13亿m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，占79％。工业开采量1.27亿m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，占11％。</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新乡市地表水属海河流域和黄河流域两大水系。属海河流域的河流主要有卫河、共产主义渠和人民胜利渠等。属黄河流域的河流主要是文岩渠、天然文岩渠等。流经新乡市市区的地表水为卫河，属于海河流域南运河水系，全长900余公里，境内流长73km，跨越河南、山东、河北、天津四省市。</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69" w:name="_Toc1218"/>
      <w:bookmarkStart w:id="170" w:name="_Toc7550"/>
      <w:bookmarkStart w:id="171" w:name="_Toc29306"/>
      <w:bookmarkStart w:id="172" w:name="_Toc24190"/>
      <w:bookmarkStart w:id="173" w:name="_Toc13115"/>
      <w:bookmarkStart w:id="174" w:name="_Toc12880"/>
      <w:bookmarkStart w:id="175" w:name="_Toc16414"/>
      <w:bookmarkStart w:id="176" w:name="_Toc1845"/>
      <w:r>
        <w:rPr>
          <w:rFonts w:hint="default" w:ascii="Times New Roman" w:hAnsi="Times New Roman" w:cs="Times New Roman"/>
          <w:b/>
          <w:kern w:val="0"/>
          <w:sz w:val="28"/>
          <w:szCs w:val="26"/>
        </w:rPr>
        <w:t>2.3地形地貌</w:t>
      </w:r>
      <w:bookmarkEnd w:id="168"/>
      <w:bookmarkEnd w:id="169"/>
      <w:bookmarkEnd w:id="170"/>
      <w:bookmarkEnd w:id="171"/>
      <w:bookmarkEnd w:id="172"/>
      <w:bookmarkEnd w:id="173"/>
      <w:bookmarkEnd w:id="174"/>
      <w:bookmarkEnd w:id="175"/>
      <w:bookmarkEnd w:id="176"/>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新乡市位于黄河冲积平原和太行山前倾斜平原的过渡区。按成因由北而南</w:t>
      </w:r>
    </w:p>
    <w:p>
      <w:pPr>
        <w:widowControl/>
        <w:spacing w:line="360" w:lineRule="auto"/>
        <w:jc w:val="left"/>
        <w:rPr>
          <w:rFonts w:hint="default" w:ascii="Times New Roman" w:hAnsi="Times New Roman" w:cs="Times New Roman"/>
          <w:sz w:val="24"/>
          <w:szCs w:val="24"/>
        </w:rPr>
      </w:pPr>
      <w:r>
        <w:rPr>
          <w:rFonts w:hint="default" w:ascii="Times New Roman" w:hAnsi="Times New Roman" w:cs="Times New Roman"/>
          <w:sz w:val="24"/>
          <w:szCs w:val="24"/>
        </w:rPr>
        <w:t>可划分为构造剥蚀山前丘陵,山前洪积倾斜平原和黄河、卫河冲积平原三种地貌类型。全市最高点凤凰山海拔高程为29273米,最低点高程为698米。市区内地势平坦,海拔高程一般在72米左右。地形自然坡度一般在1/2000-1/3000之间。</w:t>
      </w:r>
    </w:p>
    <w:p>
      <w:pPr>
        <w:widowControl/>
        <w:spacing w:line="360" w:lineRule="auto"/>
        <w:jc w:val="left"/>
        <w:rPr>
          <w:rFonts w:hint="default" w:ascii="Times New Roman" w:hAnsi="Times New Roman" w:cs="Times New Roman"/>
          <w:sz w:val="24"/>
          <w:szCs w:val="24"/>
        </w:rPr>
      </w:pPr>
      <w:r>
        <w:rPr>
          <w:rFonts w:hint="default" w:ascii="Times New Roman" w:hAnsi="Times New Roman" w:cs="Times New Roman"/>
          <w:sz w:val="24"/>
          <w:szCs w:val="24"/>
        </w:rPr>
        <w:t>卫河以北地势由西北向东南、卫河以南由西南向东北倾斜。</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本调查场地所在地位于新乡市平原地区，地势较平坦宽阔。</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77" w:name="_Toc27577060"/>
      <w:bookmarkStart w:id="178" w:name="_Toc8651"/>
      <w:bookmarkStart w:id="179" w:name="_Toc20585"/>
      <w:bookmarkStart w:id="180" w:name="_Toc4963"/>
      <w:bookmarkStart w:id="181" w:name="_Toc18981"/>
      <w:bookmarkStart w:id="182" w:name="_Toc28422"/>
      <w:bookmarkStart w:id="183" w:name="_Toc5104"/>
      <w:bookmarkStart w:id="184" w:name="_Toc29013"/>
      <w:bookmarkStart w:id="185" w:name="_Toc7324"/>
      <w:r>
        <w:rPr>
          <w:rFonts w:hint="default" w:ascii="Times New Roman" w:hAnsi="Times New Roman" w:cs="Times New Roman"/>
          <w:b/>
          <w:kern w:val="0"/>
          <w:sz w:val="28"/>
          <w:szCs w:val="26"/>
        </w:rPr>
        <w:t>2.4</w:t>
      </w:r>
      <w:bookmarkEnd w:id="177"/>
      <w:r>
        <w:rPr>
          <w:rFonts w:hint="default" w:ascii="Times New Roman" w:hAnsi="Times New Roman" w:cs="Times New Roman"/>
          <w:b/>
          <w:kern w:val="0"/>
          <w:sz w:val="28"/>
          <w:szCs w:val="26"/>
        </w:rPr>
        <w:t>土壤和植被</w:t>
      </w:r>
      <w:bookmarkEnd w:id="178"/>
      <w:bookmarkEnd w:id="179"/>
      <w:bookmarkEnd w:id="180"/>
      <w:bookmarkEnd w:id="181"/>
      <w:bookmarkEnd w:id="182"/>
      <w:bookmarkEnd w:id="183"/>
      <w:bookmarkEnd w:id="184"/>
      <w:bookmarkEnd w:id="185"/>
    </w:p>
    <w:p>
      <w:pPr>
        <w:pStyle w:val="5"/>
        <w:keepNext w:val="0"/>
        <w:keepLines w:val="0"/>
        <w:widowControl/>
        <w:spacing w:line="360" w:lineRule="auto"/>
        <w:contextualSpacing/>
        <w:jc w:val="left"/>
        <w:rPr>
          <w:rFonts w:hint="default" w:ascii="Times New Roman" w:hAnsi="Times New Roman" w:cs="Times New Roman"/>
          <w:b/>
          <w:kern w:val="0"/>
          <w:sz w:val="28"/>
          <w:szCs w:val="26"/>
        </w:rPr>
      </w:pPr>
      <w:bookmarkStart w:id="186" w:name="_Toc14436"/>
      <w:bookmarkStart w:id="187" w:name="_Toc6753"/>
      <w:bookmarkStart w:id="188" w:name="_Toc16001"/>
      <w:bookmarkStart w:id="189" w:name="_Toc7398"/>
      <w:r>
        <w:rPr>
          <w:rFonts w:hint="default" w:ascii="Times New Roman" w:hAnsi="Times New Roman" w:cs="Times New Roman"/>
          <w:b/>
          <w:kern w:val="0"/>
          <w:sz w:val="28"/>
          <w:szCs w:val="26"/>
        </w:rPr>
        <w:t>2.4.1区域地层</w:t>
      </w:r>
      <w:bookmarkEnd w:id="186"/>
      <w:bookmarkEnd w:id="187"/>
      <w:bookmarkEnd w:id="188"/>
      <w:bookmarkEnd w:id="189"/>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调查区古老结晶基底由太古界泰山群花岗、片麻岩组成。早古生代时期，本区区域上受到广泛的海侵，沉积了以碳酸盐岩为主的寒武系、中下奥陶统，在长期的抬升作用之后，华北地台整体下沉，在中奥陶统的侵蚀面之上沉积了海陆交互相的中上石炭统和陆相沉积的上下二叠统、侏罗、白垩系地层。燕山运动之后，华北盆地开始形成，沉积了巨厚的新生界地层，其中古近系为裂谷型沉积，厚约7000m，新近系为盆地沉积，厚约1300m。受河、湖冲湖积作用的影响，第四系松散沉积十分发育，厚约175～240m，广泛覆盖于新近系之上，形成新近系热储盖层。</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第四系地层由老到新分述如下：</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=1\*GB3</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①</w:t>
      </w:r>
      <w:r>
        <w:rPr>
          <w:rFonts w:hint="default" w:ascii="Times New Roman" w:hAnsi="Times New Roman" w:cs="Times New Roman"/>
          <w:sz w:val="24"/>
          <w:szCs w:val="24"/>
        </w:rPr>
        <w:fldChar w:fldCharType="end"/>
      </w:r>
      <w:r>
        <w:rPr>
          <w:rFonts w:hint="default" w:ascii="Times New Roman" w:hAnsi="Times New Roman" w:cs="Times New Roman"/>
          <w:sz w:val="24"/>
          <w:szCs w:val="24"/>
        </w:rPr>
        <w:t>下更新统（Qp1）</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顶板埋深214～260m，底板埋深270～400m，沉积厚度90m左右。一般可见砂层9层左右，岩性为粉砂，总厚度30m左右。</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=2\*GB3</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②</w:t>
      </w:r>
      <w:r>
        <w:rPr>
          <w:rFonts w:hint="default" w:ascii="Times New Roman" w:hAnsi="Times New Roman" w:cs="Times New Roman"/>
          <w:sz w:val="24"/>
          <w:szCs w:val="24"/>
        </w:rPr>
        <w:fldChar w:fldCharType="end"/>
      </w:r>
      <w:r>
        <w:rPr>
          <w:rFonts w:hint="default" w:ascii="Times New Roman" w:hAnsi="Times New Roman" w:cs="Times New Roman"/>
          <w:sz w:val="24"/>
          <w:szCs w:val="24"/>
        </w:rPr>
        <w:t>中更新统（Qp2）</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顶板埋深120m左右，底板埋深214～260m，沉积厚度90～130m。为一套棕黄色粉土、粉质粘土、粘质粉土互层。有3～5层砂层，单层厚度4～8m，总厚度28m左右。</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=3\*GB3</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③</w:t>
      </w:r>
      <w:r>
        <w:rPr>
          <w:rFonts w:hint="default" w:ascii="Times New Roman" w:hAnsi="Times New Roman" w:cs="Times New Roman"/>
          <w:sz w:val="24"/>
          <w:szCs w:val="24"/>
        </w:rPr>
        <w:fldChar w:fldCharType="end"/>
      </w:r>
      <w:r>
        <w:rPr>
          <w:rFonts w:hint="default" w:ascii="Times New Roman" w:hAnsi="Times New Roman" w:cs="Times New Roman"/>
          <w:sz w:val="24"/>
          <w:szCs w:val="24"/>
        </w:rPr>
        <w:t>上更新统（Qp3al）</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顶板埋深35～46m，底板埋深120m左右，一般沉积厚度60～80m。岩性以黄灰色、黄褐色粉土、粉质粘土与细砂互层为主，一般可见砂层2～4层，单层厚度7～16m，总厚度30～41m。</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=4\*GB3</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④</w:t>
      </w:r>
      <w:r>
        <w:rPr>
          <w:rFonts w:hint="default" w:ascii="Times New Roman" w:hAnsi="Times New Roman" w:cs="Times New Roman"/>
          <w:sz w:val="24"/>
          <w:szCs w:val="24"/>
        </w:rPr>
        <w:fldChar w:fldCharType="end"/>
      </w:r>
      <w:r>
        <w:rPr>
          <w:rFonts w:hint="default" w:ascii="Times New Roman" w:hAnsi="Times New Roman" w:cs="Times New Roman"/>
          <w:sz w:val="24"/>
          <w:szCs w:val="24"/>
        </w:rPr>
        <w:t>全新统（Qh）</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为近代黄河冲积层，底板埋深35～46m。岩性为粉砂、细砂与粉土、粉质粘土互层。一般可见砂层2～3层，单层厚度5～15m，总厚度17～25m。</w:t>
      </w:r>
    </w:p>
    <w:p>
      <w:pPr>
        <w:pStyle w:val="5"/>
        <w:keepNext w:val="0"/>
        <w:keepLines w:val="0"/>
        <w:widowControl/>
        <w:spacing w:line="360" w:lineRule="auto"/>
        <w:contextualSpacing/>
        <w:jc w:val="left"/>
        <w:rPr>
          <w:rFonts w:hint="default" w:ascii="Times New Roman" w:hAnsi="Times New Roman" w:cs="Times New Roman"/>
          <w:b/>
          <w:kern w:val="0"/>
          <w:sz w:val="28"/>
          <w:szCs w:val="26"/>
        </w:rPr>
      </w:pPr>
      <w:bookmarkStart w:id="190" w:name="_Toc22250"/>
      <w:bookmarkStart w:id="191" w:name="_Toc6180"/>
      <w:bookmarkStart w:id="192" w:name="_Toc1556"/>
      <w:bookmarkStart w:id="193" w:name="_Toc22103"/>
      <w:r>
        <w:rPr>
          <w:rFonts w:hint="default" w:ascii="Times New Roman" w:hAnsi="Times New Roman" w:cs="Times New Roman"/>
          <w:b/>
          <w:kern w:val="0"/>
          <w:sz w:val="28"/>
          <w:szCs w:val="26"/>
        </w:rPr>
        <w:t>2.4.2植被</w:t>
      </w:r>
      <w:bookmarkEnd w:id="190"/>
      <w:bookmarkEnd w:id="191"/>
      <w:bookmarkEnd w:id="192"/>
      <w:bookmarkEnd w:id="193"/>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项目所在区域为平原地区，植被以农业植被和经济物种为主，植被覆盖率受农作物生产状况的影响呈季节性变化，同时覆盖率也受作物种植制度影响，植被受到人工干预的程度较大。区内主要种植的农作物为小麦和玉米，自然木本植物十分少见，多为人工经济林和农田林，自然植被多为草本植物，田间杂草，常见的有狗尾草、马唐、莎草、马齿菜等。集聚区为平原地区，该区野生动物以很难寻觅。</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经现场实地踏勘，场地周边以居民区为主，无珍稀动植物资源，以人工植被为主。场地范围内无挂牌古树名木，无自然保护区，无濒危野生动植物，也不涉及文物保护单位或其他需要保护的历史遗迹。</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194" w:name="_Toc25673259"/>
      <w:bookmarkStart w:id="195" w:name="_Toc20230"/>
      <w:bookmarkStart w:id="196" w:name="_Toc11064"/>
      <w:bookmarkStart w:id="197" w:name="_Toc11047"/>
      <w:bookmarkStart w:id="198" w:name="_Toc1418"/>
      <w:bookmarkStart w:id="199" w:name="_Toc16469"/>
      <w:bookmarkStart w:id="200" w:name="_Toc2773"/>
      <w:bookmarkStart w:id="201" w:name="_Toc27078356"/>
      <w:bookmarkStart w:id="202" w:name="_Toc18310"/>
      <w:bookmarkStart w:id="203" w:name="_Toc27577061"/>
      <w:bookmarkStart w:id="204" w:name="_Toc10439"/>
      <w:r>
        <w:rPr>
          <w:rFonts w:hint="default" w:ascii="Times New Roman" w:hAnsi="Times New Roman" w:cs="Times New Roman"/>
          <w:b/>
          <w:kern w:val="0"/>
          <w:sz w:val="28"/>
          <w:szCs w:val="26"/>
        </w:rPr>
        <w:t>2.5水文地质</w:t>
      </w:r>
      <w:bookmarkEnd w:id="194"/>
      <w:r>
        <w:rPr>
          <w:rFonts w:hint="default" w:ascii="Times New Roman" w:hAnsi="Times New Roman" w:cs="Times New Roman"/>
          <w:b/>
          <w:kern w:val="0"/>
          <w:sz w:val="28"/>
          <w:szCs w:val="26"/>
        </w:rPr>
        <w:t>条件</w:t>
      </w:r>
      <w:bookmarkEnd w:id="195"/>
      <w:bookmarkEnd w:id="196"/>
      <w:bookmarkEnd w:id="197"/>
      <w:bookmarkEnd w:id="198"/>
      <w:bookmarkEnd w:id="199"/>
      <w:bookmarkEnd w:id="200"/>
      <w:bookmarkEnd w:id="201"/>
      <w:bookmarkEnd w:id="202"/>
      <w:bookmarkEnd w:id="203"/>
      <w:bookmarkEnd w:id="204"/>
    </w:p>
    <w:p>
      <w:pPr>
        <w:widowControl/>
        <w:spacing w:line="360" w:lineRule="auto"/>
        <w:ind w:firstLine="480" w:firstLineChars="200"/>
        <w:jc w:val="left"/>
        <w:rPr>
          <w:rFonts w:hint="default" w:ascii="Times New Roman" w:hAnsi="Times New Roman" w:cs="Times New Roman"/>
          <w:sz w:val="24"/>
          <w:szCs w:val="24"/>
          <w:u w:val="single"/>
        </w:rPr>
      </w:pPr>
      <w:r>
        <w:rPr>
          <w:rFonts w:hint="default" w:ascii="Times New Roman" w:hAnsi="Times New Roman" w:cs="Times New Roman"/>
          <w:sz w:val="24"/>
          <w:szCs w:val="24"/>
          <w:u w:val="single"/>
        </w:rPr>
        <w:t>根据区域水文地质情况及勘查资料，本地区被第四系松散沉积物所覆盖，因此，第四系松散岩类孔隙含水层是评估区的主要开采层，同时也是与拟建建筑物关系最为密切的含水层。</w:t>
      </w:r>
      <w:r>
        <w:rPr>
          <w:rFonts w:hint="default" w:ascii="Times New Roman" w:hAnsi="Times New Roman" w:cs="Times New Roman"/>
          <w:color w:val="auto"/>
          <w:sz w:val="24"/>
          <w:szCs w:val="24"/>
          <w:u w:val="single"/>
        </w:rPr>
        <w:t>本地区地下水水位埋深</w:t>
      </w:r>
      <w:r>
        <w:rPr>
          <w:rFonts w:hint="default" w:ascii="Times New Roman" w:hAnsi="Times New Roman" w:cs="Times New Roman"/>
          <w:color w:val="auto"/>
          <w:sz w:val="24"/>
          <w:szCs w:val="24"/>
          <w:u w:val="single"/>
          <w:lang w:val="en-US" w:eastAsia="zh-CN"/>
        </w:rPr>
        <w:t>11</w:t>
      </w:r>
      <w:r>
        <w:rPr>
          <w:rFonts w:hint="default" w:ascii="Times New Roman" w:hAnsi="Times New Roman" w:cs="Times New Roman"/>
          <w:color w:val="auto"/>
          <w:sz w:val="24"/>
          <w:szCs w:val="24"/>
          <w:u w:val="single"/>
        </w:rPr>
        <w:t>m左右，</w:t>
      </w:r>
      <w:r>
        <w:rPr>
          <w:rFonts w:hint="default" w:ascii="Times New Roman" w:hAnsi="Times New Roman" w:cs="Times New Roman"/>
          <w:sz w:val="24"/>
          <w:szCs w:val="24"/>
          <w:u w:val="single"/>
        </w:rPr>
        <w:t>富水岩性以粉细砂、中砂为主，主要接受大气降水的垂直入渗补给及卫河水的侧向径流补给，排泄方式为人工开采和径流排泄。地下水动态变化主要受季节性控制和开采影响，水文年变幅2-3m</w:t>
      </w:r>
      <w:r>
        <w:rPr>
          <w:rFonts w:hint="default" w:ascii="Times New Roman" w:hAnsi="Times New Roman" w:cs="Times New Roman"/>
          <w:sz w:val="24"/>
          <w:szCs w:val="24"/>
          <w:u w:val="single"/>
          <w:lang w:eastAsia="zh-CN"/>
        </w:rPr>
        <w:t>，</w:t>
      </w:r>
      <w:r>
        <w:rPr>
          <w:rFonts w:hint="default" w:ascii="Times New Roman" w:hAnsi="Times New Roman" w:cs="Times New Roman"/>
          <w:sz w:val="24"/>
          <w:szCs w:val="24"/>
          <w:u w:val="single"/>
          <w:lang w:val="en-US" w:eastAsia="zh-CN"/>
        </w:rPr>
        <w:t>地下水流向为由西北向东南</w:t>
      </w:r>
      <w:r>
        <w:rPr>
          <w:rFonts w:hint="default" w:ascii="Times New Roman" w:hAnsi="Times New Roman" w:cs="Times New Roman"/>
          <w:sz w:val="24"/>
          <w:szCs w:val="24"/>
          <w:u w:val="single"/>
        </w:rPr>
        <w:t>。</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205" w:name="_Toc532890979"/>
      <w:bookmarkStart w:id="206" w:name="_Toc14362169"/>
      <w:bookmarkStart w:id="207" w:name="_Toc656"/>
      <w:bookmarkStart w:id="208" w:name="_Toc3342"/>
      <w:bookmarkStart w:id="209" w:name="_Toc9291"/>
      <w:bookmarkStart w:id="210" w:name="_Toc3909"/>
      <w:bookmarkStart w:id="211" w:name="_Toc19255"/>
      <w:bookmarkStart w:id="212" w:name="_Toc17685"/>
      <w:bookmarkStart w:id="213" w:name="_Toc12040"/>
      <w:bookmarkStart w:id="214" w:name="_Toc7329"/>
      <w:bookmarkStart w:id="215" w:name="_Toc27577062"/>
      <w:bookmarkStart w:id="216" w:name="_Toc27078357"/>
      <w:r>
        <w:rPr>
          <w:rFonts w:hint="default" w:ascii="Times New Roman" w:hAnsi="Times New Roman" w:cs="Times New Roman"/>
          <w:b/>
          <w:kern w:val="0"/>
          <w:sz w:val="28"/>
          <w:szCs w:val="26"/>
        </w:rPr>
        <w:t>2.6地块</w:t>
      </w:r>
      <w:bookmarkEnd w:id="205"/>
      <w:r>
        <w:rPr>
          <w:rFonts w:hint="default" w:ascii="Times New Roman" w:hAnsi="Times New Roman" w:cs="Times New Roman"/>
          <w:b/>
          <w:kern w:val="0"/>
          <w:sz w:val="28"/>
          <w:szCs w:val="26"/>
        </w:rPr>
        <w:t>发展历程</w:t>
      </w:r>
      <w:bookmarkEnd w:id="206"/>
      <w:r>
        <w:rPr>
          <w:rFonts w:hint="default" w:ascii="Times New Roman" w:hAnsi="Times New Roman" w:cs="Times New Roman"/>
          <w:b/>
          <w:kern w:val="0"/>
          <w:sz w:val="28"/>
          <w:szCs w:val="26"/>
        </w:rPr>
        <w:t>与规划</w:t>
      </w:r>
      <w:bookmarkEnd w:id="207"/>
      <w:bookmarkEnd w:id="208"/>
      <w:bookmarkEnd w:id="209"/>
      <w:bookmarkEnd w:id="210"/>
      <w:bookmarkEnd w:id="211"/>
      <w:bookmarkEnd w:id="212"/>
      <w:bookmarkEnd w:id="213"/>
      <w:bookmarkEnd w:id="214"/>
      <w:bookmarkEnd w:id="215"/>
      <w:bookmarkEnd w:id="216"/>
    </w:p>
    <w:p>
      <w:pPr>
        <w:pStyle w:val="5"/>
        <w:keepNext w:val="0"/>
        <w:keepLines w:val="0"/>
        <w:widowControl/>
        <w:spacing w:line="360" w:lineRule="auto"/>
        <w:contextualSpacing/>
        <w:jc w:val="left"/>
        <w:rPr>
          <w:rFonts w:hint="default" w:ascii="Times New Roman" w:hAnsi="Times New Roman" w:cs="Times New Roman"/>
          <w:b/>
          <w:kern w:val="0"/>
          <w:sz w:val="28"/>
          <w:szCs w:val="26"/>
        </w:rPr>
      </w:pPr>
      <w:bookmarkStart w:id="217" w:name="_Toc27"/>
      <w:bookmarkStart w:id="218" w:name="_Toc22"/>
      <w:bookmarkStart w:id="219" w:name="_Toc2081"/>
      <w:r>
        <w:rPr>
          <w:rFonts w:hint="default" w:ascii="Times New Roman" w:hAnsi="Times New Roman" w:cs="Times New Roman"/>
          <w:b/>
          <w:kern w:val="0"/>
          <w:sz w:val="28"/>
          <w:szCs w:val="26"/>
        </w:rPr>
        <w:t>2.6.1地块发展历程</w:t>
      </w:r>
      <w:bookmarkEnd w:id="217"/>
      <w:bookmarkEnd w:id="218"/>
      <w:bookmarkEnd w:id="219"/>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该地块位于</w:t>
      </w:r>
      <w:r>
        <w:rPr>
          <w:rFonts w:hint="eastAsia" w:ascii="Times New Roman" w:hAnsi="Times New Roman" w:cs="Times New Roman"/>
          <w:sz w:val="24"/>
          <w:szCs w:val="24"/>
          <w:lang w:eastAsia="zh-CN"/>
        </w:rPr>
        <w:t>卫滨区</w:t>
      </w:r>
      <w:r>
        <w:rPr>
          <w:rFonts w:hint="default" w:ascii="Times New Roman" w:hAnsi="Times New Roman" w:cs="Times New Roman"/>
          <w:sz w:val="24"/>
          <w:szCs w:val="24"/>
        </w:rPr>
        <w:t>东北部，从2005年始至20</w:t>
      </w:r>
      <w:r>
        <w:rPr>
          <w:rFonts w:hint="default" w:ascii="Times New Roman" w:hAnsi="Times New Roman" w:cs="Times New Roman"/>
          <w:sz w:val="24"/>
          <w:szCs w:val="24"/>
          <w:lang w:val="en-US" w:eastAsia="zh-CN"/>
        </w:rPr>
        <w:t>19</w:t>
      </w:r>
      <w:r>
        <w:rPr>
          <w:rFonts w:hint="default" w:ascii="Times New Roman" w:hAnsi="Times New Roman" w:cs="Times New Roman"/>
          <w:sz w:val="24"/>
          <w:szCs w:val="24"/>
        </w:rPr>
        <w:t>地块为农业用地，后为闲置地</w:t>
      </w:r>
      <w:r>
        <w:rPr>
          <w:rFonts w:hint="eastAsia" w:ascii="Times New Roman" w:hAnsi="Times New Roman" w:cs="Times New Roman"/>
          <w:sz w:val="24"/>
          <w:szCs w:val="24"/>
          <w:lang w:eastAsia="zh-CN"/>
        </w:rPr>
        <w:t>。</w:t>
      </w:r>
      <w:r>
        <w:rPr>
          <w:rFonts w:hint="default" w:ascii="Times New Roman" w:hAnsi="Times New Roman" w:cs="Times New Roman"/>
          <w:sz w:val="24"/>
          <w:szCs w:val="24"/>
        </w:rPr>
        <w:t>地块北</w:t>
      </w:r>
      <w:r>
        <w:rPr>
          <w:rFonts w:hint="eastAsia" w:ascii="Times New Roman" w:hAnsi="Times New Roman" w:cs="Times New Roman"/>
          <w:sz w:val="24"/>
          <w:szCs w:val="24"/>
          <w:lang w:eastAsia="zh-CN"/>
        </w:rPr>
        <w:t>为规划路</w:t>
      </w:r>
      <w:r>
        <w:rPr>
          <w:rFonts w:hint="default" w:ascii="Times New Roman" w:hAnsi="Times New Roman" w:cs="Times New Roman"/>
          <w:sz w:val="24"/>
          <w:szCs w:val="24"/>
        </w:rPr>
        <w:t>，南为</w:t>
      </w:r>
      <w:r>
        <w:rPr>
          <w:rFonts w:hint="eastAsia" w:ascii="Times New Roman" w:hAnsi="Times New Roman" w:cs="Times New Roman"/>
          <w:sz w:val="24"/>
          <w:szCs w:val="24"/>
          <w:lang w:eastAsia="zh-CN"/>
        </w:rPr>
        <w:t>河南经济贸易技师学校，西为西台头村集体土地，东为劳动南街</w:t>
      </w:r>
      <w:r>
        <w:rPr>
          <w:rFonts w:hint="default" w:ascii="Times New Roman" w:hAnsi="Times New Roman" w:cs="Times New Roman"/>
          <w:sz w:val="24"/>
          <w:szCs w:val="24"/>
        </w:rPr>
        <w:t>。地块整体为</w:t>
      </w:r>
      <w:r>
        <w:rPr>
          <w:rFonts w:hint="eastAsia" w:ascii="Times New Roman" w:hAnsi="Times New Roman" w:cs="Times New Roman"/>
          <w:sz w:val="24"/>
          <w:szCs w:val="24"/>
          <w:lang w:eastAsia="zh-CN"/>
        </w:rPr>
        <w:t>五边形</w:t>
      </w:r>
      <w:r>
        <w:rPr>
          <w:rFonts w:hint="default" w:ascii="Times New Roman" w:hAnsi="Times New Roman" w:cs="Times New Roman"/>
          <w:sz w:val="24"/>
          <w:szCs w:val="24"/>
        </w:rPr>
        <w:t>，J1J2长为</w:t>
      </w:r>
      <w:r>
        <w:rPr>
          <w:snapToGrid w:val="0"/>
          <w:kern w:val="0"/>
          <w:sz w:val="24"/>
        </w:rPr>
        <w:t>265.57</w:t>
      </w:r>
      <w:r>
        <w:rPr>
          <w:rFonts w:hint="eastAsia"/>
          <w:snapToGrid w:val="0"/>
          <w:kern w:val="0"/>
          <w:sz w:val="24"/>
          <w:lang w:val="en-US" w:eastAsia="zh-CN"/>
        </w:rPr>
        <w:t>m</w:t>
      </w:r>
      <w:r>
        <w:rPr>
          <w:rFonts w:hint="default" w:ascii="Times New Roman" w:hAnsi="Times New Roman" w:cs="Times New Roman"/>
          <w:sz w:val="24"/>
          <w:szCs w:val="24"/>
        </w:rPr>
        <w:t>，J2J3长为</w:t>
      </w:r>
      <w:r>
        <w:rPr>
          <w:snapToGrid w:val="0"/>
          <w:kern w:val="0"/>
          <w:sz w:val="24"/>
        </w:rPr>
        <w:t>11.85</w:t>
      </w:r>
      <w:r>
        <w:rPr>
          <w:rFonts w:hint="eastAsia"/>
          <w:snapToGrid w:val="0"/>
          <w:kern w:val="0"/>
          <w:sz w:val="24"/>
          <w:lang w:val="en-US" w:eastAsia="zh-CN"/>
        </w:rPr>
        <w:t>m</w:t>
      </w:r>
      <w:r>
        <w:rPr>
          <w:rFonts w:hint="default" w:ascii="Times New Roman" w:hAnsi="Times New Roman" w:cs="Times New Roman"/>
          <w:sz w:val="24"/>
          <w:szCs w:val="24"/>
        </w:rPr>
        <w:t>，J3J4长为</w:t>
      </w:r>
      <w:r>
        <w:rPr>
          <w:snapToGrid w:val="0"/>
          <w:kern w:val="0"/>
          <w:sz w:val="24"/>
        </w:rPr>
        <w:t>36.92</w:t>
      </w:r>
      <w:r>
        <w:rPr>
          <w:rFonts w:hint="eastAsia"/>
          <w:snapToGrid w:val="0"/>
          <w:kern w:val="0"/>
          <w:sz w:val="24"/>
          <w:lang w:val="en-US" w:eastAsia="zh-CN"/>
        </w:rPr>
        <w:t>m</w:t>
      </w:r>
      <w:r>
        <w:rPr>
          <w:rFonts w:hint="default" w:ascii="Times New Roman" w:hAnsi="Times New Roman" w:cs="Times New Roman"/>
          <w:sz w:val="24"/>
          <w:szCs w:val="24"/>
        </w:rPr>
        <w:t>，J4J</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长为</w:t>
      </w:r>
      <w:r>
        <w:rPr>
          <w:snapToGrid w:val="0"/>
          <w:kern w:val="0"/>
          <w:sz w:val="24"/>
        </w:rPr>
        <w:t>272.17</w:t>
      </w:r>
      <w:r>
        <w:rPr>
          <w:rFonts w:hint="eastAsia"/>
          <w:snapToGrid w:val="0"/>
          <w:kern w:val="0"/>
          <w:sz w:val="24"/>
          <w:lang w:val="en-US" w:eastAsia="zh-CN"/>
        </w:rPr>
        <w:t>m</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J5J1长为</w:t>
      </w:r>
      <w:r>
        <w:rPr>
          <w:snapToGrid w:val="0"/>
          <w:kern w:val="0"/>
          <w:sz w:val="24"/>
        </w:rPr>
        <w:t>77.81</w:t>
      </w:r>
      <w:r>
        <w:rPr>
          <w:rFonts w:hint="eastAsia"/>
          <w:snapToGrid w:val="0"/>
          <w:kern w:val="0"/>
          <w:sz w:val="24"/>
          <w:lang w:val="en-US" w:eastAsia="zh-CN"/>
        </w:rPr>
        <w:t>m</w:t>
      </w:r>
      <w:r>
        <w:rPr>
          <w:rFonts w:hint="default" w:ascii="Times New Roman" w:hAnsi="Times New Roman" w:cs="Times New Roman"/>
          <w:sz w:val="24"/>
          <w:szCs w:val="24"/>
        </w:rPr>
        <w:t>。</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调查结果结合卫星图片表明：2005年至今，土地未发生明显变化详见下图3—图7。</w:t>
      </w:r>
    </w:p>
    <w:p>
      <w:pPr>
        <w:widowControl/>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260340" cy="2245360"/>
            <wp:effectExtent l="0" t="0" r="16510" b="2540"/>
            <wp:docPr id="1" name="图片 1" descr="2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15.5"/>
                    <pic:cNvPicPr>
                      <a:picLocks noChangeAspect="1"/>
                    </pic:cNvPicPr>
                  </pic:nvPicPr>
                  <pic:blipFill>
                    <a:blip r:embed="rId10"/>
                    <a:stretch>
                      <a:fillRect/>
                    </a:stretch>
                  </pic:blipFill>
                  <pic:spPr>
                    <a:xfrm>
                      <a:off x="0" y="0"/>
                      <a:ext cx="5260340" cy="2245360"/>
                    </a:xfrm>
                    <a:prstGeom prst="rect">
                      <a:avLst/>
                    </a:prstGeom>
                  </pic:spPr>
                </pic:pic>
              </a:graphicData>
            </a:graphic>
          </wp:inline>
        </w:drawing>
      </w:r>
    </w:p>
    <w:p>
      <w:pPr>
        <w:widowControl/>
        <w:spacing w:line="360" w:lineRule="auto"/>
        <w:ind w:firstLine="482" w:firstLineChars="200"/>
        <w:jc w:val="center"/>
        <w:rPr>
          <w:rFonts w:hint="default" w:ascii="Times New Roman" w:hAnsi="Times New Roman" w:cs="Times New Roman"/>
          <w:b/>
          <w:bCs/>
          <w:sz w:val="24"/>
          <w:szCs w:val="24"/>
        </w:rPr>
      </w:pPr>
      <w:bookmarkStart w:id="220" w:name="_Toc20512"/>
      <w:bookmarkStart w:id="221" w:name="_Toc21287"/>
      <w:bookmarkStart w:id="222" w:name="_Toc584"/>
      <w:bookmarkStart w:id="223" w:name="_Toc13584"/>
      <w:bookmarkStart w:id="224" w:name="_Toc20534"/>
      <w:bookmarkStart w:id="225" w:name="_Toc6906"/>
      <w:bookmarkStart w:id="226" w:name="_Toc48673371"/>
      <w:r>
        <w:rPr>
          <w:rFonts w:hint="default" w:ascii="Times New Roman" w:hAnsi="Times New Roman" w:cs="Times New Roman"/>
          <w:b/>
          <w:bCs/>
          <w:sz w:val="24"/>
          <w:szCs w:val="24"/>
        </w:rPr>
        <w:t>图3</w:t>
      </w:r>
      <w:bookmarkStart w:id="227" w:name="_Toc25673262"/>
      <w:r>
        <w:rPr>
          <w:rFonts w:hint="default" w:ascii="Times New Roman" w:hAnsi="Times New Roman" w:cs="Times New Roman"/>
          <w:b/>
          <w:bCs/>
          <w:sz w:val="24"/>
          <w:szCs w:val="24"/>
        </w:rPr>
        <w:t>地块历史用地情况图（2005年影像地图）</w:t>
      </w:r>
      <w:bookmarkEnd w:id="220"/>
      <w:bookmarkEnd w:id="221"/>
      <w:bookmarkEnd w:id="222"/>
      <w:bookmarkEnd w:id="223"/>
      <w:bookmarkEnd w:id="224"/>
      <w:bookmarkEnd w:id="225"/>
      <w:bookmarkEnd w:id="226"/>
      <w:bookmarkEnd w:id="227"/>
      <w:bookmarkStart w:id="228" w:name="_Toc482814591"/>
      <w:bookmarkStart w:id="229" w:name="_Toc9887"/>
      <w:bookmarkStart w:id="230" w:name="_Toc532890978"/>
      <w:bookmarkStart w:id="231" w:name="_Toc480493259"/>
      <w:bookmarkStart w:id="232" w:name="_Toc14362170"/>
      <w:bookmarkStart w:id="233" w:name="_Toc27078358"/>
      <w:bookmarkStart w:id="234" w:name="_Toc27577063"/>
    </w:p>
    <w:p>
      <w:pPr>
        <w:widowControl/>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262245" cy="2383790"/>
            <wp:effectExtent l="0" t="0" r="14605" b="16510"/>
            <wp:docPr id="2" name="图片 2" descr="20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09.12"/>
                    <pic:cNvPicPr>
                      <a:picLocks noChangeAspect="1"/>
                    </pic:cNvPicPr>
                  </pic:nvPicPr>
                  <pic:blipFill>
                    <a:blip r:embed="rId11"/>
                    <a:stretch>
                      <a:fillRect/>
                    </a:stretch>
                  </pic:blipFill>
                  <pic:spPr>
                    <a:xfrm>
                      <a:off x="0" y="0"/>
                      <a:ext cx="5262245" cy="2383790"/>
                    </a:xfrm>
                    <a:prstGeom prst="rect">
                      <a:avLst/>
                    </a:prstGeom>
                  </pic:spPr>
                </pic:pic>
              </a:graphicData>
            </a:graphic>
          </wp:inline>
        </w:drawing>
      </w:r>
    </w:p>
    <w:p>
      <w:pPr>
        <w:widowControl/>
        <w:spacing w:line="360" w:lineRule="auto"/>
        <w:ind w:firstLine="482" w:firstLineChars="200"/>
        <w:jc w:val="center"/>
        <w:rPr>
          <w:rFonts w:hint="default" w:ascii="Times New Roman" w:hAnsi="Times New Roman" w:cs="Times New Roman"/>
          <w:b/>
          <w:bCs/>
          <w:sz w:val="24"/>
          <w:szCs w:val="24"/>
        </w:rPr>
      </w:pPr>
      <w:bookmarkStart w:id="235" w:name="_Toc9620"/>
      <w:bookmarkStart w:id="236" w:name="_Toc17410"/>
      <w:bookmarkStart w:id="237" w:name="_Toc12519"/>
      <w:bookmarkStart w:id="238" w:name="_Toc6475"/>
      <w:bookmarkStart w:id="239" w:name="_Toc22756"/>
      <w:bookmarkStart w:id="240" w:name="_Toc48673372"/>
      <w:bookmarkStart w:id="241" w:name="_Toc26019"/>
      <w:r>
        <w:rPr>
          <w:rFonts w:hint="default" w:ascii="Times New Roman" w:hAnsi="Times New Roman" w:cs="Times New Roman"/>
          <w:b/>
          <w:bCs/>
          <w:sz w:val="24"/>
          <w:szCs w:val="24"/>
        </w:rPr>
        <w:t>图4地块历史用地情况图（2009年影像地图）</w:t>
      </w:r>
      <w:bookmarkEnd w:id="235"/>
      <w:bookmarkEnd w:id="236"/>
      <w:bookmarkEnd w:id="237"/>
      <w:bookmarkEnd w:id="238"/>
      <w:bookmarkEnd w:id="239"/>
      <w:bookmarkEnd w:id="240"/>
      <w:bookmarkEnd w:id="241"/>
    </w:p>
    <w:p>
      <w:pPr>
        <w:widowControl/>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272405" cy="2309495"/>
            <wp:effectExtent l="0" t="0" r="4445" b="14605"/>
            <wp:docPr id="4" name="图片 4" descr="20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12.9"/>
                    <pic:cNvPicPr>
                      <a:picLocks noChangeAspect="1"/>
                    </pic:cNvPicPr>
                  </pic:nvPicPr>
                  <pic:blipFill>
                    <a:blip r:embed="rId12"/>
                    <a:stretch>
                      <a:fillRect/>
                    </a:stretch>
                  </pic:blipFill>
                  <pic:spPr>
                    <a:xfrm>
                      <a:off x="0" y="0"/>
                      <a:ext cx="5272405" cy="2309495"/>
                    </a:xfrm>
                    <a:prstGeom prst="rect">
                      <a:avLst/>
                    </a:prstGeom>
                  </pic:spPr>
                </pic:pic>
              </a:graphicData>
            </a:graphic>
          </wp:inline>
        </w:drawing>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图5 地块历史用地情况图（201</w:t>
      </w: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rPr>
        <w:t>年影像地图）</w:t>
      </w:r>
    </w:p>
    <w:p>
      <w:pPr>
        <w:widowControl/>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272405" cy="2284730"/>
            <wp:effectExtent l="0" t="0" r="4445" b="1270"/>
            <wp:docPr id="5" name="图片 5" descr="20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14.11"/>
                    <pic:cNvPicPr>
                      <a:picLocks noChangeAspect="1"/>
                    </pic:cNvPicPr>
                  </pic:nvPicPr>
                  <pic:blipFill>
                    <a:blip r:embed="rId13"/>
                    <a:stretch>
                      <a:fillRect/>
                    </a:stretch>
                  </pic:blipFill>
                  <pic:spPr>
                    <a:xfrm>
                      <a:off x="0" y="0"/>
                      <a:ext cx="5272405" cy="2284730"/>
                    </a:xfrm>
                    <a:prstGeom prst="rect">
                      <a:avLst/>
                    </a:prstGeom>
                  </pic:spPr>
                </pic:pic>
              </a:graphicData>
            </a:graphic>
          </wp:inline>
        </w:drawing>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图6 地块历史用地情况图（201</w:t>
      </w:r>
      <w:r>
        <w:rPr>
          <w:rFonts w:hint="default" w:ascii="Times New Roman" w:hAnsi="Times New Roman" w:cs="Times New Roman"/>
          <w:b/>
          <w:bCs/>
          <w:sz w:val="24"/>
          <w:szCs w:val="24"/>
          <w:lang w:val="en-US" w:eastAsia="zh-CN"/>
        </w:rPr>
        <w:t>4</w:t>
      </w:r>
      <w:r>
        <w:rPr>
          <w:rFonts w:hint="default" w:ascii="Times New Roman" w:hAnsi="Times New Roman" w:cs="Times New Roman"/>
          <w:b/>
          <w:bCs/>
          <w:sz w:val="24"/>
          <w:szCs w:val="24"/>
        </w:rPr>
        <w:t>年影像地图）</w:t>
      </w:r>
    </w:p>
    <w:p>
      <w:pPr>
        <w:pStyle w:val="13"/>
        <w:rPr>
          <w:rFonts w:hint="eastAsia" w:eastAsia="宋体"/>
          <w:lang w:eastAsia="zh-CN"/>
        </w:rPr>
      </w:pPr>
      <w:r>
        <w:rPr>
          <w:rFonts w:hint="eastAsia" w:eastAsia="宋体"/>
          <w:lang w:eastAsia="zh-CN"/>
        </w:rPr>
        <w:drawing>
          <wp:inline distT="0" distB="0" distL="114300" distR="114300">
            <wp:extent cx="5260340" cy="2245360"/>
            <wp:effectExtent l="0" t="0" r="16510" b="2540"/>
            <wp:docPr id="7" name="图片 7" descr="20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15.5"/>
                    <pic:cNvPicPr>
                      <a:picLocks noChangeAspect="1"/>
                    </pic:cNvPicPr>
                  </pic:nvPicPr>
                  <pic:blipFill>
                    <a:blip r:embed="rId10"/>
                    <a:stretch>
                      <a:fillRect/>
                    </a:stretch>
                  </pic:blipFill>
                  <pic:spPr>
                    <a:xfrm>
                      <a:off x="0" y="0"/>
                      <a:ext cx="5260340" cy="2245360"/>
                    </a:xfrm>
                    <a:prstGeom prst="rect">
                      <a:avLst/>
                    </a:prstGeom>
                  </pic:spPr>
                </pic:pic>
              </a:graphicData>
            </a:graphic>
          </wp:inline>
        </w:drawing>
      </w:r>
    </w:p>
    <w:p>
      <w:pPr>
        <w:jc w:val="center"/>
        <w:rPr>
          <w:rFonts w:hint="default" w:ascii="Times New Roman" w:hAnsi="Times New Roman" w:cs="Times New Roman"/>
        </w:rPr>
      </w:pP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图</w:t>
      </w:r>
      <w:r>
        <w:rPr>
          <w:rFonts w:hint="default" w:ascii="Times New Roman" w:hAnsi="Times New Roman" w:cs="Times New Roman"/>
          <w:b/>
          <w:bCs/>
          <w:sz w:val="24"/>
          <w:szCs w:val="24"/>
          <w:lang w:val="en-US" w:eastAsia="zh-CN"/>
        </w:rPr>
        <w:t>7</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地块历史用地情况图（201</w:t>
      </w:r>
      <w:r>
        <w:rPr>
          <w:rFonts w:hint="default" w:ascii="Times New Roman" w:hAnsi="Times New Roman" w:cs="Times New Roman"/>
          <w:b/>
          <w:bCs/>
          <w:sz w:val="24"/>
          <w:szCs w:val="24"/>
          <w:lang w:val="en-US" w:eastAsia="zh-CN"/>
        </w:rPr>
        <w:t>5</w:t>
      </w:r>
      <w:r>
        <w:rPr>
          <w:rFonts w:hint="default" w:ascii="Times New Roman" w:hAnsi="Times New Roman" w:cs="Times New Roman"/>
          <w:b/>
          <w:bCs/>
          <w:sz w:val="24"/>
          <w:szCs w:val="24"/>
        </w:rPr>
        <w:t>年影像地图）</w:t>
      </w:r>
    </w:p>
    <w:p>
      <w:pPr>
        <w:pStyle w:val="4"/>
        <w:spacing w:line="240" w:lineRule="auto"/>
        <w:ind w:left="0" w:leftChars="0" w:firstLine="0" w:firstLineChars="0"/>
        <w:outlineLvl w:val="9"/>
        <w:rPr>
          <w:rFonts w:hint="eastAsia" w:ascii="Times New Roman" w:hAnsi="Times New Roman" w:eastAsia="宋体" w:cs="Times New Roman"/>
          <w:lang w:eastAsia="zh-CN"/>
        </w:rPr>
      </w:pPr>
      <w:bookmarkStart w:id="242" w:name="_Toc28509"/>
      <w:r>
        <w:rPr>
          <w:rFonts w:hint="eastAsia" w:ascii="Times New Roman" w:hAnsi="Times New Roman" w:eastAsia="宋体" w:cs="Times New Roman"/>
          <w:lang w:eastAsia="zh-CN"/>
        </w:rPr>
        <w:drawing>
          <wp:inline distT="0" distB="0" distL="114300" distR="114300">
            <wp:extent cx="5268595" cy="2282190"/>
            <wp:effectExtent l="0" t="0" r="8255" b="3810"/>
            <wp:docPr id="8" name="图片 8" descr="20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6.3"/>
                    <pic:cNvPicPr>
                      <a:picLocks noChangeAspect="1"/>
                    </pic:cNvPicPr>
                  </pic:nvPicPr>
                  <pic:blipFill>
                    <a:blip r:embed="rId14"/>
                    <a:stretch>
                      <a:fillRect/>
                    </a:stretch>
                  </pic:blipFill>
                  <pic:spPr>
                    <a:xfrm>
                      <a:off x="0" y="0"/>
                      <a:ext cx="5268595" cy="2282190"/>
                    </a:xfrm>
                    <a:prstGeom prst="rect">
                      <a:avLst/>
                    </a:prstGeom>
                  </pic:spPr>
                </pic:pic>
              </a:graphicData>
            </a:graphic>
          </wp:inline>
        </w:drawing>
      </w:r>
      <w:bookmarkEnd w:id="242"/>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w:t>
      </w: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rPr>
        <w:t xml:space="preserve">  地块历史用地情况图（20</w:t>
      </w:r>
      <w:r>
        <w:rPr>
          <w:rFonts w:hint="default" w:ascii="Times New Roman" w:hAnsi="Times New Roman" w:cs="Times New Roman"/>
          <w:b/>
          <w:bCs/>
          <w:sz w:val="24"/>
          <w:szCs w:val="24"/>
          <w:lang w:val="en-US" w:eastAsia="zh-CN"/>
        </w:rPr>
        <w:t>16</w:t>
      </w:r>
      <w:r>
        <w:rPr>
          <w:rFonts w:hint="default" w:ascii="Times New Roman" w:hAnsi="Times New Roman" w:cs="Times New Roman"/>
          <w:b/>
          <w:bCs/>
          <w:sz w:val="24"/>
          <w:szCs w:val="24"/>
        </w:rPr>
        <w:t>年影像地图）</w:t>
      </w:r>
    </w:p>
    <w:p>
      <w:pPr>
        <w:pStyle w:val="4"/>
        <w:spacing w:line="240" w:lineRule="auto"/>
        <w:ind w:left="0" w:leftChars="0" w:firstLine="0" w:firstLineChars="0"/>
        <w:outlineLvl w:val="9"/>
        <w:rPr>
          <w:rFonts w:hint="default" w:ascii="Times New Roman" w:hAnsi="Times New Roman" w:eastAsia="宋体" w:cs="Times New Roman"/>
          <w:lang w:eastAsia="zh-CN"/>
        </w:rPr>
      </w:pPr>
      <w:bookmarkStart w:id="243" w:name="_Toc22729"/>
      <w:r>
        <w:rPr>
          <w:rFonts w:hint="default" w:ascii="Times New Roman" w:hAnsi="Times New Roman" w:eastAsia="宋体" w:cs="Times New Roman"/>
          <w:lang w:eastAsia="zh-CN"/>
        </w:rPr>
        <w:drawing>
          <wp:inline distT="0" distB="0" distL="114300" distR="114300">
            <wp:extent cx="5267325" cy="2154555"/>
            <wp:effectExtent l="0" t="0" r="9525" b="17145"/>
            <wp:docPr id="9" name="图片 9" descr="201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17.10"/>
                    <pic:cNvPicPr>
                      <a:picLocks noChangeAspect="1"/>
                    </pic:cNvPicPr>
                  </pic:nvPicPr>
                  <pic:blipFill>
                    <a:blip r:embed="rId15"/>
                    <a:stretch>
                      <a:fillRect/>
                    </a:stretch>
                  </pic:blipFill>
                  <pic:spPr>
                    <a:xfrm>
                      <a:off x="0" y="0"/>
                      <a:ext cx="5267325" cy="2154555"/>
                    </a:xfrm>
                    <a:prstGeom prst="rect">
                      <a:avLst/>
                    </a:prstGeom>
                  </pic:spPr>
                </pic:pic>
              </a:graphicData>
            </a:graphic>
          </wp:inline>
        </w:drawing>
      </w:r>
      <w:bookmarkEnd w:id="243"/>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w:t>
      </w:r>
      <w:r>
        <w:rPr>
          <w:rFonts w:hint="eastAsia" w:ascii="Times New Roman" w:hAnsi="Times New Roman" w:cs="Times New Roman"/>
          <w:b/>
          <w:bCs/>
          <w:sz w:val="24"/>
          <w:szCs w:val="24"/>
          <w:lang w:val="en-US" w:eastAsia="zh-CN"/>
        </w:rPr>
        <w:t>9</w:t>
      </w:r>
      <w:r>
        <w:rPr>
          <w:rFonts w:hint="default" w:ascii="Times New Roman" w:hAnsi="Times New Roman" w:cs="Times New Roman"/>
          <w:b/>
          <w:bCs/>
          <w:sz w:val="24"/>
          <w:szCs w:val="24"/>
        </w:rPr>
        <w:t xml:space="preserve">  地块历史用地情况图（20</w:t>
      </w:r>
      <w:r>
        <w:rPr>
          <w:rFonts w:hint="default" w:ascii="Times New Roman" w:hAnsi="Times New Roman" w:cs="Times New Roman"/>
          <w:b/>
          <w:bCs/>
          <w:sz w:val="24"/>
          <w:szCs w:val="24"/>
          <w:lang w:val="en-US" w:eastAsia="zh-CN"/>
        </w:rPr>
        <w:t>17</w:t>
      </w:r>
      <w:r>
        <w:rPr>
          <w:rFonts w:hint="default" w:ascii="Times New Roman" w:hAnsi="Times New Roman" w:cs="Times New Roman"/>
          <w:b/>
          <w:bCs/>
          <w:sz w:val="24"/>
          <w:szCs w:val="24"/>
        </w:rPr>
        <w:t>年影像地图）</w:t>
      </w:r>
    </w:p>
    <w:p>
      <w:pPr>
        <w:pStyle w:val="4"/>
        <w:spacing w:line="240" w:lineRule="auto"/>
        <w:ind w:left="0" w:leftChars="0" w:firstLine="0" w:firstLineChars="0"/>
        <w:outlineLvl w:val="9"/>
        <w:rPr>
          <w:rFonts w:hint="default" w:ascii="Times New Roman" w:hAnsi="Times New Roman" w:eastAsia="宋体" w:cs="Times New Roman"/>
          <w:lang w:eastAsia="zh-CN"/>
        </w:rPr>
      </w:pPr>
      <w:bookmarkStart w:id="244" w:name="_Toc1433"/>
      <w:r>
        <w:rPr>
          <w:rFonts w:hint="default" w:ascii="Times New Roman" w:hAnsi="Times New Roman" w:eastAsia="宋体" w:cs="Times New Roman"/>
          <w:lang w:eastAsia="zh-CN"/>
        </w:rPr>
        <w:drawing>
          <wp:inline distT="0" distB="0" distL="114300" distR="114300">
            <wp:extent cx="5271770" cy="2152650"/>
            <wp:effectExtent l="0" t="0" r="5080" b="0"/>
            <wp:docPr id="10" name="图片 10" descr="20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18.10"/>
                    <pic:cNvPicPr>
                      <a:picLocks noChangeAspect="1"/>
                    </pic:cNvPicPr>
                  </pic:nvPicPr>
                  <pic:blipFill>
                    <a:blip r:embed="rId16"/>
                    <a:stretch>
                      <a:fillRect/>
                    </a:stretch>
                  </pic:blipFill>
                  <pic:spPr>
                    <a:xfrm>
                      <a:off x="0" y="0"/>
                      <a:ext cx="5271770" cy="2152650"/>
                    </a:xfrm>
                    <a:prstGeom prst="rect">
                      <a:avLst/>
                    </a:prstGeom>
                  </pic:spPr>
                </pic:pic>
              </a:graphicData>
            </a:graphic>
          </wp:inline>
        </w:drawing>
      </w:r>
      <w:bookmarkEnd w:id="244"/>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w:t>
      </w:r>
      <w:r>
        <w:rPr>
          <w:rFonts w:hint="eastAsia" w:ascii="Times New Roman" w:hAnsi="Times New Roman" w:cs="Times New Roman"/>
          <w:b/>
          <w:bCs/>
          <w:sz w:val="24"/>
          <w:szCs w:val="24"/>
          <w:lang w:val="en-US" w:eastAsia="zh-CN"/>
        </w:rPr>
        <w:t>10</w:t>
      </w:r>
      <w:r>
        <w:rPr>
          <w:rFonts w:hint="default" w:ascii="Times New Roman" w:hAnsi="Times New Roman" w:cs="Times New Roman"/>
          <w:b/>
          <w:bCs/>
          <w:sz w:val="24"/>
          <w:szCs w:val="24"/>
        </w:rPr>
        <w:t xml:space="preserve">  地块历史用地情况图（20</w:t>
      </w:r>
      <w:r>
        <w:rPr>
          <w:rFonts w:hint="default" w:ascii="Times New Roman" w:hAnsi="Times New Roman" w:cs="Times New Roman"/>
          <w:b/>
          <w:bCs/>
          <w:sz w:val="24"/>
          <w:szCs w:val="24"/>
          <w:lang w:val="en-US" w:eastAsia="zh-CN"/>
        </w:rPr>
        <w:t>18</w:t>
      </w:r>
      <w:r>
        <w:rPr>
          <w:rFonts w:hint="default" w:ascii="Times New Roman" w:hAnsi="Times New Roman" w:cs="Times New Roman"/>
          <w:b/>
          <w:bCs/>
          <w:sz w:val="24"/>
          <w:szCs w:val="24"/>
        </w:rPr>
        <w:t>年影像地图）</w:t>
      </w:r>
    </w:p>
    <w:p>
      <w:pPr>
        <w:rPr>
          <w:rFonts w:hint="default" w:ascii="Times New Roman" w:hAnsi="Times New Roman" w:cs="Times New Roman"/>
          <w:lang w:eastAsia="zh-CN"/>
        </w:rPr>
      </w:pPr>
      <w:r>
        <w:rPr>
          <w:rFonts w:hint="default" w:ascii="Times New Roman" w:hAnsi="Times New Roman" w:cs="Times New Roman"/>
          <w:lang w:eastAsia="zh-CN"/>
        </w:rPr>
        <w:drawing>
          <wp:inline distT="0" distB="0" distL="114300" distR="114300">
            <wp:extent cx="5270500" cy="2045970"/>
            <wp:effectExtent l="0" t="0" r="6350" b="11430"/>
            <wp:docPr id="11" name="图片 11" descr="20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19.5"/>
                    <pic:cNvPicPr>
                      <a:picLocks noChangeAspect="1"/>
                    </pic:cNvPicPr>
                  </pic:nvPicPr>
                  <pic:blipFill>
                    <a:blip r:embed="rId17"/>
                    <a:stretch>
                      <a:fillRect/>
                    </a:stretch>
                  </pic:blipFill>
                  <pic:spPr>
                    <a:xfrm>
                      <a:off x="0" y="0"/>
                      <a:ext cx="5270500" cy="2045970"/>
                    </a:xfrm>
                    <a:prstGeom prst="rect">
                      <a:avLst/>
                    </a:prstGeom>
                  </pic:spPr>
                </pic:pic>
              </a:graphicData>
            </a:graphic>
          </wp:inline>
        </w:drawing>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w:t>
      </w: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1</w:t>
      </w:r>
      <w:r>
        <w:rPr>
          <w:rFonts w:hint="default" w:ascii="Times New Roman" w:hAnsi="Times New Roman" w:cs="Times New Roman"/>
          <w:b/>
          <w:bCs/>
          <w:sz w:val="24"/>
          <w:szCs w:val="24"/>
        </w:rPr>
        <w:t xml:space="preserve">  地块历史用地情况图（20</w:t>
      </w:r>
      <w:r>
        <w:rPr>
          <w:rFonts w:hint="default" w:ascii="Times New Roman" w:hAnsi="Times New Roman" w:cs="Times New Roman"/>
          <w:b/>
          <w:bCs/>
          <w:sz w:val="24"/>
          <w:szCs w:val="24"/>
          <w:lang w:val="en-US" w:eastAsia="zh-CN"/>
        </w:rPr>
        <w:t>19</w:t>
      </w:r>
      <w:r>
        <w:rPr>
          <w:rFonts w:hint="default" w:ascii="Times New Roman" w:hAnsi="Times New Roman" w:cs="Times New Roman"/>
          <w:b/>
          <w:bCs/>
          <w:sz w:val="24"/>
          <w:szCs w:val="24"/>
        </w:rPr>
        <w:t>年影像地图）</w:t>
      </w:r>
    </w:p>
    <w:p>
      <w:pPr>
        <w:pStyle w:val="4"/>
        <w:spacing w:line="240" w:lineRule="auto"/>
        <w:ind w:left="0" w:leftChars="0" w:firstLine="0" w:firstLineChars="0"/>
        <w:outlineLvl w:val="9"/>
        <w:rPr>
          <w:rFonts w:hint="default" w:ascii="Times New Roman" w:hAnsi="Times New Roman" w:cs="Times New Roman"/>
          <w:lang w:eastAsia="zh-CN"/>
        </w:rPr>
      </w:pPr>
      <w:bookmarkStart w:id="245" w:name="_Toc22495"/>
      <w:r>
        <w:rPr>
          <w:rFonts w:hint="default" w:ascii="Times New Roman" w:hAnsi="Times New Roman" w:cs="Times New Roman"/>
          <w:lang w:eastAsia="zh-CN"/>
        </w:rPr>
        <w:drawing>
          <wp:inline distT="0" distB="0" distL="114300" distR="114300">
            <wp:extent cx="5270500" cy="2995295"/>
            <wp:effectExtent l="0" t="0" r="6350" b="14605"/>
            <wp:docPr id="12" name="图片 12" descr="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0"/>
                    <pic:cNvPicPr>
                      <a:picLocks noChangeAspect="1"/>
                    </pic:cNvPicPr>
                  </pic:nvPicPr>
                  <pic:blipFill>
                    <a:blip r:embed="rId18"/>
                    <a:stretch>
                      <a:fillRect/>
                    </a:stretch>
                  </pic:blipFill>
                  <pic:spPr>
                    <a:xfrm>
                      <a:off x="0" y="0"/>
                      <a:ext cx="5270500" cy="2995295"/>
                    </a:xfrm>
                    <a:prstGeom prst="rect">
                      <a:avLst/>
                    </a:prstGeom>
                  </pic:spPr>
                </pic:pic>
              </a:graphicData>
            </a:graphic>
          </wp:inline>
        </w:drawing>
      </w:r>
      <w:bookmarkEnd w:id="245"/>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图</w:t>
      </w: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rPr>
        <w:t xml:space="preserve">  地块历史用地情况图（20</w:t>
      </w:r>
      <w:r>
        <w:rPr>
          <w:rFonts w:hint="default" w:ascii="Times New Roman" w:hAnsi="Times New Roman" w:cs="Times New Roman"/>
          <w:b/>
          <w:bCs/>
          <w:sz w:val="24"/>
          <w:szCs w:val="24"/>
          <w:lang w:val="en-US" w:eastAsia="zh-CN"/>
        </w:rPr>
        <w:t>20</w:t>
      </w:r>
      <w:r>
        <w:rPr>
          <w:rFonts w:hint="default" w:ascii="Times New Roman" w:hAnsi="Times New Roman" w:cs="Times New Roman"/>
          <w:b/>
          <w:bCs/>
          <w:sz w:val="24"/>
          <w:szCs w:val="24"/>
        </w:rPr>
        <w:t>年影像地图）</w:t>
      </w:r>
    </w:p>
    <w:p>
      <w:pPr>
        <w:rPr>
          <w:rFonts w:hint="default" w:ascii="Times New Roman" w:hAnsi="Times New Roman" w:cs="Times New Roman"/>
          <w:lang w:eastAsia="zh-CN"/>
        </w:rPr>
      </w:pPr>
    </w:p>
    <w:p>
      <w:pPr>
        <w:pStyle w:val="4"/>
        <w:jc w:val="center"/>
        <w:rPr>
          <w:rFonts w:hint="default" w:ascii="Times New Roman" w:hAnsi="Times New Roman" w:eastAsia="宋体" w:cs="Times New Roman"/>
          <w:lang w:val="en-US" w:eastAsia="zh-CN"/>
        </w:rPr>
      </w:pPr>
      <w:bookmarkStart w:id="246" w:name="_Toc1122"/>
      <w:bookmarkStart w:id="247" w:name="_Toc21711"/>
      <w:bookmarkStart w:id="248" w:name="_Toc14049"/>
      <w:bookmarkStart w:id="249" w:name="_Toc23331"/>
      <w:r>
        <w:rPr>
          <w:rFonts w:hint="default" w:ascii="Times New Roman" w:hAnsi="Times New Roman" w:cs="Times New Roman"/>
          <w:b/>
          <w:bCs/>
          <w:sz w:val="24"/>
          <w:szCs w:val="24"/>
          <w:lang w:val="en-US" w:eastAsia="zh-CN"/>
        </w:rPr>
        <w:t>表3   地块发展历程</w:t>
      </w:r>
      <w:bookmarkEnd w:id="246"/>
      <w:bookmarkEnd w:id="247"/>
      <w:bookmarkEnd w:id="248"/>
      <w:bookmarkEnd w:id="249"/>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3"/>
        <w:gridCol w:w="6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vAlign w:val="center"/>
          </w:tcPr>
          <w:p>
            <w:pPr>
              <w:pStyle w:val="4"/>
              <w:jc w:val="center"/>
              <w:rPr>
                <w:rFonts w:hint="default" w:ascii="Times New Roman" w:hAnsi="Times New Roman" w:eastAsia="宋体" w:cs="Times New Roman"/>
                <w:b w:val="0"/>
                <w:kern w:val="2"/>
                <w:sz w:val="24"/>
                <w:szCs w:val="24"/>
                <w:lang w:val="en-US" w:eastAsia="zh-CN" w:bidi="ar-SA"/>
              </w:rPr>
            </w:pPr>
            <w:bookmarkStart w:id="250" w:name="_Toc11605"/>
            <w:bookmarkStart w:id="251" w:name="_Toc16717"/>
            <w:bookmarkStart w:id="252" w:name="_Toc5764"/>
            <w:bookmarkStart w:id="253" w:name="_Toc13773"/>
            <w:r>
              <w:rPr>
                <w:rFonts w:hint="default" w:ascii="Times New Roman" w:hAnsi="Times New Roman" w:eastAsia="宋体" w:cs="Times New Roman"/>
                <w:b w:val="0"/>
                <w:kern w:val="2"/>
                <w:sz w:val="24"/>
                <w:szCs w:val="24"/>
                <w:lang w:val="en-US" w:eastAsia="zh-CN" w:bidi="ar-SA"/>
              </w:rPr>
              <w:t>时间</w:t>
            </w:r>
            <w:bookmarkEnd w:id="250"/>
            <w:bookmarkEnd w:id="251"/>
            <w:bookmarkEnd w:id="252"/>
            <w:bookmarkEnd w:id="253"/>
          </w:p>
        </w:tc>
        <w:tc>
          <w:tcPr>
            <w:tcW w:w="6319" w:type="dxa"/>
            <w:vAlign w:val="center"/>
          </w:tcPr>
          <w:p>
            <w:pPr>
              <w:pStyle w:val="4"/>
              <w:jc w:val="center"/>
              <w:rPr>
                <w:rFonts w:hint="default" w:ascii="Times New Roman" w:hAnsi="Times New Roman" w:eastAsia="宋体" w:cs="Times New Roman"/>
                <w:b w:val="0"/>
                <w:kern w:val="2"/>
                <w:sz w:val="24"/>
                <w:szCs w:val="24"/>
                <w:lang w:val="en-US" w:eastAsia="zh-CN" w:bidi="ar-SA"/>
              </w:rPr>
            </w:pPr>
            <w:bookmarkStart w:id="254" w:name="_Toc2248"/>
            <w:bookmarkStart w:id="255" w:name="_Toc4415"/>
            <w:bookmarkStart w:id="256" w:name="_Toc14984"/>
            <w:bookmarkStart w:id="257" w:name="_Toc24994"/>
            <w:r>
              <w:rPr>
                <w:rFonts w:hint="default" w:ascii="Times New Roman" w:hAnsi="Times New Roman" w:eastAsia="宋体" w:cs="Times New Roman"/>
                <w:b w:val="0"/>
                <w:kern w:val="2"/>
                <w:sz w:val="24"/>
                <w:szCs w:val="24"/>
                <w:lang w:val="en-US" w:eastAsia="zh-CN" w:bidi="ar-SA"/>
              </w:rPr>
              <w:t>地块用地情况</w:t>
            </w:r>
            <w:bookmarkEnd w:id="254"/>
            <w:bookmarkEnd w:id="255"/>
            <w:bookmarkEnd w:id="256"/>
            <w:bookmarkEnd w:id="2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vAlign w:val="center"/>
          </w:tcPr>
          <w:p>
            <w:pPr>
              <w:pStyle w:val="4"/>
              <w:jc w:val="both"/>
              <w:rPr>
                <w:rFonts w:hint="default" w:ascii="Times New Roman" w:hAnsi="Times New Roman" w:eastAsia="宋体" w:cs="Times New Roman"/>
                <w:b w:val="0"/>
                <w:kern w:val="2"/>
                <w:sz w:val="24"/>
                <w:szCs w:val="24"/>
                <w:lang w:val="en-US" w:eastAsia="zh-CN" w:bidi="ar-SA"/>
              </w:rPr>
            </w:pPr>
            <w:bookmarkStart w:id="258" w:name="_Toc5305"/>
            <w:bookmarkStart w:id="259" w:name="_Toc6903"/>
            <w:bookmarkStart w:id="260" w:name="_Toc25255"/>
            <w:bookmarkStart w:id="261" w:name="_Toc6398"/>
            <w:r>
              <w:rPr>
                <w:rFonts w:hint="default" w:ascii="Times New Roman" w:hAnsi="Times New Roman" w:eastAsia="宋体" w:cs="Times New Roman"/>
                <w:b w:val="0"/>
                <w:kern w:val="2"/>
                <w:sz w:val="24"/>
                <w:szCs w:val="24"/>
                <w:lang w:val="en-US" w:eastAsia="zh-CN" w:bidi="ar-SA"/>
              </w:rPr>
              <w:t>20</w:t>
            </w:r>
            <w:r>
              <w:rPr>
                <w:rFonts w:hint="eastAsia" w:ascii="Times New Roman" w:hAnsi="Times New Roman" w:cs="Times New Roman"/>
                <w:b w:val="0"/>
                <w:kern w:val="2"/>
                <w:sz w:val="24"/>
                <w:szCs w:val="24"/>
                <w:lang w:val="en-US" w:eastAsia="zh-CN" w:bidi="ar-SA"/>
              </w:rPr>
              <w:t>15</w:t>
            </w:r>
            <w:r>
              <w:rPr>
                <w:rFonts w:hint="default" w:ascii="Times New Roman" w:hAnsi="Times New Roman" w:eastAsia="宋体" w:cs="Times New Roman"/>
                <w:b w:val="0"/>
                <w:kern w:val="2"/>
                <w:sz w:val="24"/>
                <w:szCs w:val="24"/>
                <w:lang w:val="en-US" w:eastAsia="zh-CN" w:bidi="ar-SA"/>
              </w:rPr>
              <w:t>年以前</w:t>
            </w:r>
            <w:bookmarkEnd w:id="258"/>
            <w:bookmarkEnd w:id="259"/>
            <w:bookmarkEnd w:id="260"/>
            <w:bookmarkEnd w:id="261"/>
          </w:p>
        </w:tc>
        <w:tc>
          <w:tcPr>
            <w:tcW w:w="6319" w:type="dxa"/>
            <w:vAlign w:val="center"/>
          </w:tcPr>
          <w:p>
            <w:pPr>
              <w:pStyle w:val="4"/>
              <w:ind w:left="0" w:leftChars="0" w:firstLine="480" w:firstLineChars="200"/>
              <w:jc w:val="both"/>
              <w:rPr>
                <w:rFonts w:hint="default" w:ascii="Times New Roman" w:hAnsi="Times New Roman" w:eastAsia="宋体" w:cs="Times New Roman"/>
                <w:b w:val="0"/>
                <w:kern w:val="2"/>
                <w:sz w:val="24"/>
                <w:szCs w:val="24"/>
                <w:lang w:val="en-US" w:eastAsia="zh-CN" w:bidi="ar-SA"/>
              </w:rPr>
            </w:pPr>
            <w:bookmarkStart w:id="262" w:name="_Toc26472"/>
            <w:r>
              <w:rPr>
                <w:rFonts w:hint="default" w:ascii="Times New Roman" w:hAnsi="Times New Roman" w:eastAsia="宋体" w:cs="Times New Roman"/>
                <w:b w:val="0"/>
                <w:kern w:val="2"/>
                <w:sz w:val="24"/>
                <w:szCs w:val="24"/>
                <w:lang w:val="en-US" w:eastAsia="zh-CN" w:bidi="ar-SA"/>
              </w:rPr>
              <w:t>地块为农用地，主要种植农作物</w:t>
            </w:r>
            <w:bookmarkEnd w:id="2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vAlign w:val="center"/>
          </w:tcPr>
          <w:p>
            <w:pPr>
              <w:pStyle w:val="4"/>
              <w:jc w:val="both"/>
              <w:rPr>
                <w:rFonts w:hint="default" w:ascii="Times New Roman" w:hAnsi="Times New Roman" w:eastAsia="宋体" w:cs="Times New Roman"/>
                <w:b w:val="0"/>
                <w:kern w:val="2"/>
                <w:sz w:val="24"/>
                <w:szCs w:val="24"/>
                <w:lang w:val="en-US" w:eastAsia="zh-CN" w:bidi="ar-SA"/>
              </w:rPr>
            </w:pPr>
            <w:bookmarkStart w:id="263" w:name="_Toc32584"/>
            <w:r>
              <w:rPr>
                <w:rFonts w:hint="eastAsia" w:ascii="Times New Roman" w:hAnsi="Times New Roman" w:cs="Times New Roman"/>
                <w:b w:val="0"/>
                <w:kern w:val="2"/>
                <w:sz w:val="24"/>
                <w:szCs w:val="24"/>
                <w:lang w:val="en-US" w:eastAsia="zh-CN" w:bidi="ar-SA"/>
              </w:rPr>
              <w:t>2016年</w:t>
            </w:r>
            <w:bookmarkEnd w:id="263"/>
          </w:p>
        </w:tc>
        <w:tc>
          <w:tcPr>
            <w:tcW w:w="6319" w:type="dxa"/>
            <w:vAlign w:val="center"/>
          </w:tcPr>
          <w:p>
            <w:pPr>
              <w:pStyle w:val="4"/>
              <w:jc w:val="both"/>
              <w:rPr>
                <w:rFonts w:hint="default" w:ascii="Times New Roman" w:hAnsi="Times New Roman" w:eastAsia="宋体" w:cs="Times New Roman"/>
                <w:b w:val="0"/>
                <w:kern w:val="2"/>
                <w:sz w:val="24"/>
                <w:szCs w:val="24"/>
                <w:lang w:val="en-US" w:eastAsia="zh-CN" w:bidi="ar-SA"/>
              </w:rPr>
            </w:pPr>
            <w:bookmarkStart w:id="264" w:name="_Toc11453"/>
            <w:r>
              <w:rPr>
                <w:rFonts w:hint="eastAsia" w:ascii="Times New Roman" w:hAnsi="Times New Roman" w:cs="Times New Roman"/>
                <w:b w:val="0"/>
                <w:color w:val="auto"/>
                <w:kern w:val="2"/>
                <w:sz w:val="24"/>
                <w:szCs w:val="24"/>
                <w:lang w:val="en-US" w:eastAsia="zh-CN" w:bidi="ar-SA"/>
              </w:rPr>
              <w:t>地块上有临时房屋加盖（建筑物闲置）</w:t>
            </w:r>
            <w:bookmarkEnd w:id="2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vAlign w:val="center"/>
          </w:tcPr>
          <w:p>
            <w:pPr>
              <w:pStyle w:val="4"/>
              <w:jc w:val="both"/>
              <w:rPr>
                <w:rFonts w:hint="default" w:ascii="Times New Roman" w:hAnsi="Times New Roman" w:eastAsia="宋体" w:cs="Times New Roman"/>
                <w:b w:val="0"/>
                <w:kern w:val="2"/>
                <w:sz w:val="24"/>
                <w:szCs w:val="24"/>
                <w:lang w:val="en-US" w:eastAsia="zh-CN" w:bidi="ar-SA"/>
              </w:rPr>
            </w:pPr>
            <w:bookmarkStart w:id="265" w:name="_Toc2130"/>
            <w:bookmarkStart w:id="266" w:name="_Toc32046"/>
            <w:bookmarkStart w:id="267" w:name="_Toc16665"/>
            <w:bookmarkStart w:id="268" w:name="_Toc16142"/>
            <w:r>
              <w:rPr>
                <w:rFonts w:hint="default" w:ascii="Times New Roman" w:hAnsi="Times New Roman" w:eastAsia="宋体" w:cs="Times New Roman"/>
                <w:b w:val="0"/>
                <w:kern w:val="2"/>
                <w:sz w:val="24"/>
                <w:szCs w:val="24"/>
                <w:lang w:val="en-US" w:eastAsia="zh-CN" w:bidi="ar-SA"/>
              </w:rPr>
              <w:t>20</w:t>
            </w:r>
            <w:r>
              <w:rPr>
                <w:rFonts w:hint="eastAsia" w:ascii="Times New Roman" w:hAnsi="Times New Roman" w:cs="Times New Roman"/>
                <w:b w:val="0"/>
                <w:kern w:val="2"/>
                <w:sz w:val="24"/>
                <w:szCs w:val="24"/>
                <w:lang w:val="en-US" w:eastAsia="zh-CN" w:bidi="ar-SA"/>
              </w:rPr>
              <w:t>17</w:t>
            </w:r>
            <w:bookmarkEnd w:id="265"/>
            <w:bookmarkEnd w:id="266"/>
            <w:bookmarkEnd w:id="267"/>
            <w:r>
              <w:rPr>
                <w:rFonts w:hint="eastAsia" w:ascii="Times New Roman" w:hAnsi="Times New Roman" w:cs="Times New Roman"/>
                <w:b w:val="0"/>
                <w:kern w:val="2"/>
                <w:sz w:val="24"/>
                <w:szCs w:val="24"/>
                <w:lang w:val="en-US" w:eastAsia="zh-CN" w:bidi="ar-SA"/>
              </w:rPr>
              <w:t>年至今</w:t>
            </w:r>
            <w:bookmarkEnd w:id="268"/>
          </w:p>
        </w:tc>
        <w:tc>
          <w:tcPr>
            <w:tcW w:w="6319" w:type="dxa"/>
            <w:vAlign w:val="center"/>
          </w:tcPr>
          <w:p>
            <w:pPr>
              <w:pStyle w:val="4"/>
              <w:jc w:val="both"/>
              <w:rPr>
                <w:rFonts w:hint="default" w:ascii="Times New Roman" w:hAnsi="Times New Roman" w:eastAsia="宋体" w:cs="Times New Roman"/>
                <w:b w:val="0"/>
                <w:kern w:val="2"/>
                <w:sz w:val="24"/>
                <w:szCs w:val="24"/>
                <w:lang w:val="en-US" w:eastAsia="zh-CN" w:bidi="ar-SA"/>
              </w:rPr>
            </w:pPr>
            <w:bookmarkStart w:id="269" w:name="_Toc1868"/>
            <w:bookmarkStart w:id="270" w:name="_Toc3613"/>
            <w:bookmarkStart w:id="271" w:name="_Toc2621"/>
            <w:bookmarkStart w:id="272" w:name="_Toc4622"/>
            <w:r>
              <w:rPr>
                <w:rFonts w:hint="default" w:ascii="Times New Roman" w:hAnsi="Times New Roman" w:eastAsia="宋体" w:cs="Times New Roman"/>
                <w:b w:val="0"/>
                <w:kern w:val="2"/>
                <w:sz w:val="24"/>
                <w:szCs w:val="24"/>
                <w:lang w:val="en-US" w:eastAsia="zh-CN" w:bidi="ar-SA"/>
              </w:rPr>
              <w:t>地块闲置</w:t>
            </w:r>
            <w:bookmarkEnd w:id="269"/>
            <w:bookmarkEnd w:id="270"/>
            <w:bookmarkEnd w:id="271"/>
            <w:bookmarkEnd w:id="272"/>
          </w:p>
        </w:tc>
      </w:tr>
    </w:tbl>
    <w:p>
      <w:pPr>
        <w:pStyle w:val="4"/>
        <w:outlineLvl w:val="9"/>
        <w:rPr>
          <w:rFonts w:hint="default" w:ascii="Times New Roman" w:hAnsi="Times New Roman" w:cs="Times New Roman"/>
        </w:rPr>
      </w:pPr>
    </w:p>
    <w:p>
      <w:pPr>
        <w:pStyle w:val="4"/>
        <w:keepNext w:val="0"/>
        <w:keepLines w:val="0"/>
        <w:spacing w:beforeLines="50" w:afterLines="50" w:line="360" w:lineRule="auto"/>
        <w:ind w:firstLine="0" w:firstLineChars="0"/>
        <w:contextualSpacing/>
        <w:jc w:val="both"/>
        <w:outlineLvl w:val="9"/>
        <w:rPr>
          <w:rStyle w:val="15"/>
          <w:rFonts w:hint="default" w:ascii="Times New Roman" w:hAnsi="Times New Roman" w:eastAsia="黑体" w:cs="Times New Roman"/>
          <w:b/>
          <w:bCs/>
          <w:szCs w:val="32"/>
        </w:rPr>
      </w:pPr>
      <w:bookmarkStart w:id="273" w:name="_Toc26869"/>
      <w:bookmarkStart w:id="274" w:name="_Toc3146"/>
      <w:bookmarkStart w:id="275" w:name="_Toc48673373"/>
      <w:bookmarkStart w:id="276" w:name="_Toc24707"/>
      <w:bookmarkStart w:id="277" w:name="_Toc17736"/>
      <w:bookmarkStart w:id="278" w:name="_Toc2271"/>
      <w:bookmarkStart w:id="279" w:name="_Toc23735"/>
      <w:bookmarkStart w:id="280" w:name="_Toc27575"/>
      <w:bookmarkStart w:id="281" w:name="_Toc29623"/>
    </w:p>
    <w:p>
      <w:pPr>
        <w:pStyle w:val="4"/>
        <w:keepNext w:val="0"/>
        <w:keepLines w:val="0"/>
        <w:spacing w:beforeLines="50" w:afterLines="50" w:line="360" w:lineRule="auto"/>
        <w:ind w:firstLine="0" w:firstLineChars="0"/>
        <w:contextualSpacing/>
        <w:jc w:val="center"/>
        <w:rPr>
          <w:rStyle w:val="15"/>
          <w:rFonts w:hint="default" w:ascii="Times New Roman" w:hAnsi="Times New Roman" w:eastAsia="黑体" w:cs="Times New Roman"/>
          <w:b/>
          <w:bCs/>
          <w:szCs w:val="32"/>
        </w:rPr>
      </w:pPr>
      <w:bookmarkStart w:id="282" w:name="_Toc27574"/>
      <w:r>
        <w:rPr>
          <w:rStyle w:val="15"/>
          <w:rFonts w:hint="default" w:ascii="Times New Roman" w:hAnsi="Times New Roman" w:eastAsia="黑体" w:cs="Times New Roman"/>
          <w:b/>
          <w:bCs/>
          <w:szCs w:val="32"/>
        </w:rPr>
        <w:t>3</w:t>
      </w:r>
      <w:bookmarkEnd w:id="228"/>
      <w:bookmarkEnd w:id="229"/>
      <w:bookmarkEnd w:id="230"/>
      <w:bookmarkEnd w:id="231"/>
      <w:r>
        <w:rPr>
          <w:rStyle w:val="15"/>
          <w:rFonts w:hint="default" w:ascii="Times New Roman" w:hAnsi="Times New Roman" w:eastAsia="黑体" w:cs="Times New Roman"/>
          <w:b/>
          <w:bCs/>
          <w:szCs w:val="32"/>
        </w:rPr>
        <w:t>第一阶段污染识别</w:t>
      </w:r>
      <w:bookmarkEnd w:id="232"/>
      <w:bookmarkEnd w:id="233"/>
      <w:bookmarkEnd w:id="234"/>
      <w:bookmarkEnd w:id="273"/>
      <w:bookmarkEnd w:id="274"/>
      <w:bookmarkEnd w:id="275"/>
      <w:bookmarkEnd w:id="276"/>
      <w:bookmarkEnd w:id="277"/>
      <w:bookmarkEnd w:id="278"/>
      <w:bookmarkEnd w:id="279"/>
      <w:bookmarkEnd w:id="280"/>
      <w:bookmarkEnd w:id="281"/>
      <w:bookmarkEnd w:id="282"/>
    </w:p>
    <w:p>
      <w:pPr>
        <w:pStyle w:val="5"/>
        <w:numPr>
          <w:ilvl w:val="0"/>
          <w:numId w:val="0"/>
        </w:numPr>
        <w:spacing w:before="240" w:after="240"/>
        <w:outlineLvl w:val="0"/>
        <w:rPr>
          <w:rFonts w:hint="default" w:ascii="Times New Roman" w:hAnsi="Times New Roman" w:eastAsia="黑体" w:cs="Times New Roman"/>
          <w:b/>
          <w:kern w:val="0"/>
          <w:sz w:val="28"/>
          <w:szCs w:val="26"/>
          <w:lang w:val="en-US" w:eastAsia="zh-CN" w:bidi="ar-SA"/>
        </w:rPr>
      </w:pPr>
      <w:bookmarkStart w:id="283" w:name="_Toc14362171"/>
      <w:bookmarkStart w:id="284" w:name="_Toc27078359"/>
      <w:bookmarkStart w:id="285" w:name="_Toc25068"/>
      <w:bookmarkStart w:id="286" w:name="_Toc27577064"/>
      <w:bookmarkStart w:id="287" w:name="_Toc29648"/>
      <w:bookmarkStart w:id="288" w:name="_Toc16164"/>
      <w:bookmarkStart w:id="289" w:name="_Toc482814640"/>
      <w:bookmarkStart w:id="290" w:name="_Toc6493"/>
      <w:bookmarkStart w:id="291" w:name="_Toc480493261"/>
      <w:bookmarkStart w:id="292" w:name="_Toc482814593"/>
      <w:bookmarkStart w:id="293" w:name="_Toc15851"/>
      <w:bookmarkStart w:id="294" w:name="_Toc532890980"/>
      <w:bookmarkStart w:id="295" w:name="_Toc25440"/>
      <w:bookmarkStart w:id="296" w:name="_Toc14362172"/>
      <w:bookmarkStart w:id="297" w:name="_Toc20455"/>
      <w:bookmarkStart w:id="298" w:name="_Toc14712"/>
      <w:bookmarkStart w:id="299" w:name="_Toc19717"/>
      <w:bookmarkStart w:id="300" w:name="_Toc27078360"/>
      <w:bookmarkStart w:id="301" w:name="_Toc27577065"/>
      <w:r>
        <w:rPr>
          <w:rFonts w:hint="default" w:ascii="Times New Roman" w:hAnsi="Times New Roman" w:eastAsia="黑体" w:cs="Times New Roman"/>
          <w:b/>
          <w:kern w:val="0"/>
          <w:sz w:val="28"/>
          <w:szCs w:val="26"/>
          <w:lang w:val="en-US" w:eastAsia="zh-CN" w:bidi="ar-SA"/>
        </w:rPr>
        <w:t>3.1人员访谈</w:t>
      </w:r>
      <w:bookmarkEnd w:id="283"/>
      <w:bookmarkEnd w:id="284"/>
      <w:bookmarkEnd w:id="285"/>
      <w:bookmarkEnd w:id="286"/>
      <w:bookmarkEnd w:id="287"/>
      <w:bookmarkEnd w:id="288"/>
    </w:p>
    <w:p>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sz w:val="24"/>
          <w:szCs w:val="24"/>
        </w:rPr>
        <w:t>该地块目前为</w:t>
      </w:r>
      <w:r>
        <w:rPr>
          <w:rFonts w:hint="default" w:ascii="Times New Roman" w:hAnsi="Times New Roman" w:cs="Times New Roman"/>
          <w:color w:val="000000"/>
          <w:sz w:val="24"/>
          <w:szCs w:val="24"/>
          <w:lang w:eastAsia="zh-CN"/>
        </w:rPr>
        <w:t>闲置地</w:t>
      </w:r>
      <w:r>
        <w:rPr>
          <w:rFonts w:hint="default" w:ascii="Times New Roman" w:hAnsi="Times New Roman" w:cs="Times New Roman"/>
          <w:color w:val="000000"/>
          <w:sz w:val="24"/>
          <w:szCs w:val="24"/>
        </w:rPr>
        <w:t>，</w:t>
      </w:r>
      <w:r>
        <w:rPr>
          <w:rFonts w:hint="eastAsia" w:ascii="Times New Roman" w:hAnsi="Times New Roman" w:cs="Times New Roman"/>
          <w:color w:val="000000" w:themeColor="text1"/>
          <w:sz w:val="24"/>
          <w:lang w:val="en-US" w:eastAsia="zh-CN"/>
          <w14:textFill>
            <w14:solidFill>
              <w14:schemeClr w14:val="tx1"/>
            </w14:solidFill>
          </w14:textFill>
        </w:rPr>
        <w:t>根据</w:t>
      </w:r>
      <w:r>
        <w:rPr>
          <w:rFonts w:hint="default" w:ascii="Times New Roman" w:hAnsi="Times New Roman" w:cs="Times New Roman"/>
          <w:color w:val="000000" w:themeColor="text1"/>
          <w:sz w:val="24"/>
          <w:lang w:val="en-US" w:eastAsia="zh-CN"/>
          <w14:textFill>
            <w14:solidFill>
              <w14:schemeClr w14:val="tx1"/>
            </w14:solidFill>
          </w14:textFill>
        </w:rPr>
        <w:t>《新乡市</w:t>
      </w:r>
      <w:r>
        <w:rPr>
          <w:rFonts w:hint="eastAsia" w:ascii="Times New Roman" w:hAnsi="Times New Roman" w:cs="Times New Roman"/>
          <w:color w:val="000000" w:themeColor="text1"/>
          <w:sz w:val="24"/>
          <w:lang w:val="en-US" w:eastAsia="zh-CN"/>
          <w14:textFill>
            <w14:solidFill>
              <w14:schemeClr w14:val="tx1"/>
            </w14:solidFill>
          </w14:textFill>
        </w:rPr>
        <w:t>规划设计条件通知书（新规条件2015-53号）</w:t>
      </w:r>
      <w:r>
        <w:rPr>
          <w:rFonts w:hint="default" w:ascii="Times New Roman" w:hAnsi="Times New Roman" w:cs="Times New Roman"/>
          <w:color w:val="000000" w:themeColor="text1"/>
          <w:sz w:val="24"/>
          <w:lang w:val="en-US" w:eastAsia="zh-CN"/>
          <w14:textFill>
            <w14:solidFill>
              <w14:schemeClr w14:val="tx1"/>
            </w14:solidFill>
          </w14:textFill>
        </w:rPr>
        <w:t>》该地块作为教育科研用地使用。</w:t>
      </w:r>
    </w:p>
    <w:p>
      <w:pPr>
        <w:spacing w:line="360" w:lineRule="auto"/>
        <w:ind w:firstLine="480" w:firstLineChars="200"/>
        <w:rPr>
          <w:rFonts w:hint="default" w:ascii="Times New Roman" w:hAnsi="Times New Roman" w:cs="Times New Roman"/>
        </w:rPr>
      </w:pPr>
      <w:r>
        <w:rPr>
          <w:rFonts w:hint="default" w:ascii="Times New Roman" w:hAnsi="Times New Roman" w:cs="Times New Roman"/>
          <w:sz w:val="24"/>
        </w:rPr>
        <w:t>根据人员访谈情况，该地块</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15</w:t>
      </w:r>
      <w:r>
        <w:rPr>
          <w:rFonts w:hint="default" w:ascii="Times New Roman" w:hAnsi="Times New Roman" w:eastAsia="宋体" w:cs="Times New Roman"/>
          <w:sz w:val="24"/>
          <w:szCs w:val="24"/>
        </w:rPr>
        <w:t>年之前为</w:t>
      </w:r>
      <w:r>
        <w:rPr>
          <w:rFonts w:hint="default" w:ascii="Times New Roman" w:hAnsi="Times New Roman" w:cs="Times New Roman"/>
          <w:sz w:val="24"/>
          <w:szCs w:val="24"/>
          <w:lang w:eastAsia="zh-CN"/>
        </w:rPr>
        <w:t>农用地</w:t>
      </w:r>
      <w:r>
        <w:rPr>
          <w:rFonts w:hint="default" w:ascii="Times New Roman" w:hAnsi="Times New Roman" w:eastAsia="宋体" w:cs="Times New Roman"/>
          <w:sz w:val="24"/>
          <w:szCs w:val="24"/>
        </w:rPr>
        <w:t>，</w:t>
      </w:r>
      <w:r>
        <w:rPr>
          <w:rFonts w:hint="eastAsia" w:ascii="Times New Roman" w:hAnsi="Times New Roman" w:cs="Times New Roman"/>
          <w:sz w:val="24"/>
          <w:szCs w:val="24"/>
          <w:lang w:val="en-US" w:eastAsia="zh-CN"/>
        </w:rPr>
        <w:t>2016年曾加盖过临时房屋</w:t>
      </w:r>
      <w:r>
        <w:rPr>
          <w:rFonts w:hint="default" w:ascii="Times New Roman" w:hAnsi="Times New Roman" w:cs="Times New Roman"/>
          <w:sz w:val="24"/>
          <w:szCs w:val="24"/>
          <w:lang w:val="en-US" w:eastAsia="zh-CN"/>
        </w:rPr>
        <w:t>，20</w:t>
      </w:r>
      <w:r>
        <w:rPr>
          <w:rFonts w:hint="eastAsia" w:ascii="Times New Roman" w:hAnsi="Times New Roman" w:cs="Times New Roman"/>
          <w:sz w:val="24"/>
          <w:szCs w:val="24"/>
          <w:lang w:val="en-US" w:eastAsia="zh-CN"/>
        </w:rPr>
        <w:t>17</w:t>
      </w:r>
      <w:r>
        <w:rPr>
          <w:rFonts w:hint="default" w:ascii="Times New Roman" w:hAnsi="Times New Roman" w:cs="Times New Roman"/>
          <w:sz w:val="24"/>
          <w:szCs w:val="24"/>
          <w:lang w:val="en-US" w:eastAsia="zh-CN"/>
        </w:rPr>
        <w:t>年地块闲置，未耕种作物。</w:t>
      </w:r>
    </w:p>
    <w:p>
      <w:pPr>
        <w:widowControl/>
        <w:spacing w:line="360" w:lineRule="auto"/>
        <w:jc w:val="left"/>
        <w:outlineLvl w:val="0"/>
        <w:rPr>
          <w:rFonts w:hint="default" w:ascii="Times New Roman" w:hAnsi="Times New Roman" w:eastAsia="黑体" w:cs="Times New Roman"/>
          <w:b/>
          <w:kern w:val="0"/>
          <w:sz w:val="28"/>
          <w:szCs w:val="26"/>
        </w:rPr>
      </w:pPr>
      <w:bookmarkStart w:id="302" w:name="_Toc7283"/>
      <w:bookmarkStart w:id="303" w:name="_Toc24435"/>
      <w:bookmarkStart w:id="304" w:name="_Toc17497"/>
      <w:bookmarkStart w:id="305" w:name="_Toc5277"/>
      <w:r>
        <w:rPr>
          <w:rFonts w:hint="default" w:ascii="Times New Roman" w:hAnsi="Times New Roman" w:eastAsia="黑体" w:cs="Times New Roman"/>
          <w:b/>
          <w:kern w:val="0"/>
          <w:sz w:val="28"/>
          <w:szCs w:val="26"/>
        </w:rPr>
        <w:t>3.</w:t>
      </w:r>
      <w:bookmarkEnd w:id="289"/>
      <w:bookmarkEnd w:id="290"/>
      <w:bookmarkEnd w:id="291"/>
      <w:bookmarkEnd w:id="292"/>
      <w:r>
        <w:rPr>
          <w:rFonts w:hint="default" w:ascii="Times New Roman" w:hAnsi="Times New Roman" w:eastAsia="黑体" w:cs="Times New Roman"/>
          <w:b/>
          <w:kern w:val="0"/>
          <w:sz w:val="28"/>
          <w:szCs w:val="26"/>
          <w:lang w:val="en-US" w:eastAsia="zh-CN"/>
        </w:rPr>
        <w:t>2</w:t>
      </w:r>
      <w:r>
        <w:rPr>
          <w:rFonts w:hint="default" w:ascii="Times New Roman" w:hAnsi="Times New Roman" w:eastAsia="黑体" w:cs="Times New Roman"/>
          <w:b/>
          <w:kern w:val="0"/>
          <w:sz w:val="28"/>
          <w:szCs w:val="26"/>
        </w:rPr>
        <w:t>现场踏勘</w:t>
      </w:r>
      <w:bookmarkEnd w:id="293"/>
      <w:bookmarkEnd w:id="294"/>
      <w:bookmarkEnd w:id="295"/>
      <w:bookmarkEnd w:id="296"/>
      <w:bookmarkEnd w:id="297"/>
      <w:bookmarkEnd w:id="298"/>
      <w:bookmarkEnd w:id="299"/>
      <w:bookmarkEnd w:id="300"/>
      <w:bookmarkEnd w:id="301"/>
      <w:bookmarkEnd w:id="302"/>
      <w:bookmarkEnd w:id="303"/>
      <w:bookmarkEnd w:id="304"/>
      <w:bookmarkEnd w:id="305"/>
    </w:p>
    <w:p>
      <w:pPr>
        <w:widowControl/>
        <w:spacing w:line="360" w:lineRule="auto"/>
        <w:ind w:firstLine="480" w:firstLineChars="200"/>
        <w:jc w:val="left"/>
        <w:rPr>
          <w:rFonts w:hint="default" w:ascii="Times New Roman" w:hAnsi="Times New Roman" w:cs="Times New Roman"/>
          <w:sz w:val="24"/>
          <w:szCs w:val="24"/>
          <w:u w:val="single"/>
        </w:rPr>
      </w:pPr>
      <w:r>
        <w:rPr>
          <w:rFonts w:hint="eastAsia" w:ascii="Times New Roman" w:hAnsi="Times New Roman" w:cs="Times New Roman"/>
          <w:sz w:val="24"/>
          <w:szCs w:val="24"/>
          <w:u w:val="single"/>
          <w:lang w:eastAsia="zh-CN"/>
        </w:rPr>
        <w:t>河南经济贸易技师学校扩建</w:t>
      </w:r>
      <w:r>
        <w:rPr>
          <w:rFonts w:hint="default" w:ascii="Times New Roman" w:hAnsi="Times New Roman" w:cs="Times New Roman"/>
          <w:sz w:val="24"/>
          <w:szCs w:val="24"/>
          <w:u w:val="single"/>
          <w:lang w:eastAsia="zh-CN"/>
        </w:rPr>
        <w:t>地块</w:t>
      </w:r>
      <w:r>
        <w:rPr>
          <w:rFonts w:hint="default" w:ascii="Times New Roman" w:hAnsi="Times New Roman" w:cs="Times New Roman"/>
          <w:sz w:val="24"/>
          <w:szCs w:val="24"/>
          <w:u w:val="single"/>
        </w:rPr>
        <w:t>位于</w:t>
      </w:r>
      <w:r>
        <w:rPr>
          <w:rFonts w:hint="eastAsia" w:ascii="Times New Roman" w:hAnsi="Times New Roman" w:cs="Times New Roman"/>
          <w:sz w:val="24"/>
          <w:szCs w:val="24"/>
          <w:u w:val="single"/>
          <w:lang w:eastAsia="zh-CN"/>
        </w:rPr>
        <w:t>卫滨区</w:t>
      </w:r>
      <w:r>
        <w:rPr>
          <w:rFonts w:hint="default" w:ascii="Times New Roman" w:hAnsi="Times New Roman" w:cs="Times New Roman"/>
          <w:sz w:val="24"/>
          <w:szCs w:val="24"/>
          <w:u w:val="single"/>
        </w:rPr>
        <w:t>东北部，中心坐标为东经113</w:t>
      </w:r>
      <w:r>
        <w:rPr>
          <w:rFonts w:hint="eastAsia" w:ascii="Times New Roman" w:hAnsi="Times New Roman" w:cs="Times New Roman"/>
          <w:sz w:val="24"/>
          <w:szCs w:val="24"/>
          <w:u w:val="single"/>
          <w:lang w:val="en-US" w:eastAsia="zh-CN"/>
        </w:rPr>
        <w:t>.88135910°，</w:t>
      </w:r>
      <w:r>
        <w:rPr>
          <w:rFonts w:hint="default" w:ascii="Times New Roman" w:hAnsi="Times New Roman" w:cs="Times New Roman"/>
          <w:sz w:val="24"/>
          <w:szCs w:val="24"/>
          <w:u w:val="single"/>
        </w:rPr>
        <w:t>北纬35</w:t>
      </w:r>
      <w:r>
        <w:rPr>
          <w:rFonts w:hint="eastAsia" w:ascii="Times New Roman" w:hAnsi="Times New Roman" w:cs="Times New Roman"/>
          <w:sz w:val="24"/>
          <w:szCs w:val="24"/>
          <w:u w:val="single"/>
          <w:lang w:val="en-US" w:eastAsia="zh-CN"/>
        </w:rPr>
        <w:t>.26519123</w:t>
      </w:r>
      <w:r>
        <w:rPr>
          <w:rFonts w:hint="default" w:ascii="Times New Roman" w:hAnsi="Times New Roman" w:cs="Times New Roman"/>
          <w:sz w:val="24"/>
          <w:szCs w:val="24"/>
          <w:u w:val="single"/>
        </w:rPr>
        <w:t>°，该地块北</w:t>
      </w:r>
      <w:r>
        <w:rPr>
          <w:rFonts w:hint="eastAsia" w:ascii="Times New Roman" w:hAnsi="Times New Roman" w:cs="Times New Roman"/>
          <w:sz w:val="24"/>
          <w:szCs w:val="24"/>
          <w:u w:val="single"/>
          <w:lang w:eastAsia="zh-CN"/>
        </w:rPr>
        <w:t>为规划路</w:t>
      </w:r>
      <w:r>
        <w:rPr>
          <w:rFonts w:hint="default" w:ascii="Times New Roman" w:hAnsi="Times New Roman" w:cs="Times New Roman"/>
          <w:sz w:val="24"/>
          <w:szCs w:val="24"/>
          <w:u w:val="single"/>
        </w:rPr>
        <w:t>，南为</w:t>
      </w:r>
      <w:r>
        <w:rPr>
          <w:rFonts w:hint="eastAsia" w:ascii="Times New Roman" w:hAnsi="Times New Roman" w:cs="Times New Roman"/>
          <w:sz w:val="24"/>
          <w:szCs w:val="24"/>
          <w:u w:val="single"/>
          <w:lang w:eastAsia="zh-CN"/>
        </w:rPr>
        <w:t>河南经济贸易技师学校，西为西台头村集体土地，东为劳动南街</w:t>
      </w:r>
      <w:r>
        <w:rPr>
          <w:rFonts w:hint="default" w:ascii="Times New Roman" w:hAnsi="Times New Roman" w:cs="Times New Roman"/>
          <w:sz w:val="24"/>
          <w:szCs w:val="24"/>
          <w:u w:val="single"/>
        </w:rPr>
        <w:t>。结合地块周边情况，本次踏勘以地块为中心，向外扩展500米左右。</w:t>
      </w:r>
    </w:p>
    <w:p>
      <w:pPr>
        <w:widowControl/>
        <w:spacing w:line="360" w:lineRule="auto"/>
        <w:ind w:firstLine="480" w:firstLineChars="200"/>
        <w:jc w:val="left"/>
        <w:rPr>
          <w:rFonts w:hint="default" w:ascii="Times New Roman" w:hAnsi="Times New Roman" w:cs="Times New Roman"/>
          <w:sz w:val="24"/>
          <w:szCs w:val="24"/>
          <w:u w:val="single"/>
        </w:rPr>
      </w:pPr>
      <w:r>
        <w:rPr>
          <w:rFonts w:hint="default" w:ascii="Times New Roman" w:hAnsi="Times New Roman" w:cs="Times New Roman"/>
          <w:sz w:val="24"/>
          <w:szCs w:val="24"/>
          <w:u w:val="single"/>
        </w:rPr>
        <w:t>现场踏勘以地块内为主，其中地块内的潜在污染区域为关注重点，在踏勘过程中，对通过资料分析识别出的潜在污染区域和环境敏感点进行现场确认，并进行现场记录和拍照。</w:t>
      </w:r>
    </w:p>
    <w:p>
      <w:pPr>
        <w:widowControl/>
        <w:spacing w:line="360" w:lineRule="auto"/>
        <w:ind w:firstLine="480" w:firstLineChars="200"/>
        <w:jc w:val="left"/>
        <w:rPr>
          <w:rFonts w:hint="default" w:ascii="Times New Roman" w:hAnsi="Times New Roman" w:cs="Times New Roman"/>
          <w:sz w:val="24"/>
          <w:szCs w:val="24"/>
          <w:u w:val="single"/>
        </w:rPr>
      </w:pPr>
      <w:r>
        <w:rPr>
          <w:rFonts w:hint="default" w:ascii="Times New Roman" w:hAnsi="Times New Roman" w:cs="Times New Roman"/>
          <w:sz w:val="24"/>
          <w:szCs w:val="24"/>
          <w:u w:val="single"/>
        </w:rPr>
        <w:t>地块外主要对周边的用地情况进行了调查，对周边的敏感目标进行了简单判断。</w:t>
      </w:r>
    </w:p>
    <w:p>
      <w:pPr>
        <w:widowControl/>
        <w:spacing w:line="360" w:lineRule="auto"/>
        <w:jc w:val="left"/>
        <w:outlineLvl w:val="0"/>
        <w:rPr>
          <w:rFonts w:hint="default" w:ascii="Times New Roman" w:hAnsi="Times New Roman" w:eastAsia="黑体" w:cs="Times New Roman"/>
          <w:b/>
          <w:kern w:val="0"/>
          <w:sz w:val="28"/>
          <w:szCs w:val="26"/>
        </w:rPr>
      </w:pPr>
      <w:bookmarkStart w:id="306" w:name="_Toc25811"/>
      <w:bookmarkStart w:id="307" w:name="_Toc13071"/>
      <w:bookmarkStart w:id="308" w:name="_Toc20247"/>
      <w:bookmarkStart w:id="309" w:name="_Toc20261"/>
      <w:bookmarkStart w:id="310" w:name="_Toc27078361"/>
      <w:bookmarkStart w:id="311" w:name="_Toc23101"/>
      <w:bookmarkStart w:id="312" w:name="_Toc27577066"/>
      <w:bookmarkStart w:id="313" w:name="_Toc10143"/>
      <w:bookmarkStart w:id="314" w:name="_Toc13982"/>
      <w:bookmarkStart w:id="315" w:name="_Toc26920"/>
      <w:bookmarkStart w:id="316" w:name="_Toc2391"/>
      <w:bookmarkStart w:id="317" w:name="_Toc14362173"/>
      <w:r>
        <w:rPr>
          <w:rFonts w:hint="default" w:ascii="Times New Roman" w:hAnsi="Times New Roman" w:eastAsia="黑体" w:cs="Times New Roman"/>
          <w:b/>
          <w:kern w:val="0"/>
          <w:sz w:val="28"/>
          <w:szCs w:val="26"/>
        </w:rPr>
        <w:t>3.</w:t>
      </w:r>
      <w:r>
        <w:rPr>
          <w:rFonts w:hint="default" w:ascii="Times New Roman" w:hAnsi="Times New Roman" w:eastAsia="黑体" w:cs="Times New Roman"/>
          <w:b/>
          <w:kern w:val="0"/>
          <w:sz w:val="28"/>
          <w:szCs w:val="26"/>
          <w:lang w:val="en-US" w:eastAsia="zh-CN"/>
        </w:rPr>
        <w:t>3</w:t>
      </w:r>
      <w:r>
        <w:rPr>
          <w:rFonts w:hint="default" w:ascii="Times New Roman" w:hAnsi="Times New Roman" w:eastAsia="黑体" w:cs="Times New Roman"/>
          <w:b/>
          <w:kern w:val="0"/>
          <w:sz w:val="28"/>
          <w:szCs w:val="26"/>
        </w:rPr>
        <w:t>地块现状</w:t>
      </w:r>
      <w:bookmarkEnd w:id="306"/>
      <w:bookmarkEnd w:id="307"/>
      <w:bookmarkEnd w:id="308"/>
      <w:bookmarkEnd w:id="309"/>
      <w:bookmarkEnd w:id="310"/>
      <w:bookmarkEnd w:id="311"/>
      <w:bookmarkEnd w:id="312"/>
      <w:bookmarkEnd w:id="313"/>
      <w:bookmarkEnd w:id="314"/>
      <w:bookmarkEnd w:id="315"/>
      <w:bookmarkEnd w:id="316"/>
      <w:bookmarkEnd w:id="317"/>
    </w:p>
    <w:p>
      <w:pPr>
        <w:spacing w:line="360" w:lineRule="auto"/>
        <w:ind w:firstLine="480" w:firstLineChars="200"/>
        <w:rPr>
          <w:rFonts w:hint="default" w:ascii="Times New Roman" w:hAnsi="Times New Roman" w:eastAsia="宋体" w:cs="Times New Roman"/>
          <w:sz w:val="24"/>
          <w:szCs w:val="24"/>
          <w:u w:val="single"/>
          <w:lang w:eastAsia="zh-CN"/>
        </w:rPr>
      </w:pPr>
      <w:r>
        <w:rPr>
          <w:rFonts w:hint="default" w:ascii="Times New Roman" w:hAnsi="Times New Roman" w:cs="Times New Roman"/>
          <w:sz w:val="24"/>
          <w:szCs w:val="24"/>
          <w:u w:val="single"/>
        </w:rPr>
        <w:t>地块为闲置地</w:t>
      </w:r>
      <w:bookmarkStart w:id="318" w:name="_Toc7132"/>
      <w:bookmarkStart w:id="319" w:name="_Toc6419"/>
      <w:bookmarkStart w:id="320" w:name="_Toc7738"/>
      <w:bookmarkStart w:id="321" w:name="_Toc14362176"/>
      <w:bookmarkStart w:id="322" w:name="_Toc27577069"/>
      <w:bookmarkStart w:id="323" w:name="_Toc27078364"/>
      <w:bookmarkStart w:id="324" w:name="_Toc17193"/>
      <w:bookmarkStart w:id="325" w:name="_Toc29939"/>
      <w:r>
        <w:rPr>
          <w:rFonts w:hint="eastAsia" w:ascii="Times New Roman" w:hAnsi="Times New Roman" w:cs="Times New Roman"/>
          <w:sz w:val="24"/>
          <w:szCs w:val="24"/>
          <w:u w:val="single"/>
          <w:lang w:eastAsia="zh-CN"/>
        </w:rPr>
        <w:t>，</w:t>
      </w:r>
      <w:r>
        <w:rPr>
          <w:rFonts w:hint="eastAsia" w:ascii="Times New Roman" w:hAnsi="Times New Roman" w:cs="Times New Roman"/>
          <w:color w:val="000000" w:themeColor="text1"/>
          <w:sz w:val="24"/>
          <w:u w:val="single"/>
          <w:lang w:val="en-US" w:eastAsia="zh-CN"/>
          <w14:textFill>
            <w14:solidFill>
              <w14:schemeClr w14:val="tx1"/>
            </w14:solidFill>
          </w14:textFill>
        </w:rPr>
        <w:t>根据</w:t>
      </w:r>
      <w:r>
        <w:rPr>
          <w:rFonts w:hint="default" w:ascii="Times New Roman" w:hAnsi="Times New Roman" w:cs="Times New Roman"/>
          <w:color w:val="000000" w:themeColor="text1"/>
          <w:sz w:val="24"/>
          <w:u w:val="single"/>
          <w:lang w:val="en-US" w:eastAsia="zh-CN"/>
          <w14:textFill>
            <w14:solidFill>
              <w14:schemeClr w14:val="tx1"/>
            </w14:solidFill>
          </w14:textFill>
        </w:rPr>
        <w:t>《新乡市</w:t>
      </w:r>
      <w:r>
        <w:rPr>
          <w:rFonts w:hint="eastAsia" w:ascii="Times New Roman" w:hAnsi="Times New Roman" w:cs="Times New Roman"/>
          <w:color w:val="000000" w:themeColor="text1"/>
          <w:sz w:val="24"/>
          <w:u w:val="single"/>
          <w:lang w:val="en-US" w:eastAsia="zh-CN"/>
          <w14:textFill>
            <w14:solidFill>
              <w14:schemeClr w14:val="tx1"/>
            </w14:solidFill>
          </w14:textFill>
        </w:rPr>
        <w:t>规划设计条件通知书（新规条件2015-53号）</w:t>
      </w:r>
      <w:r>
        <w:rPr>
          <w:rFonts w:hint="default" w:ascii="Times New Roman" w:hAnsi="Times New Roman" w:cs="Times New Roman"/>
          <w:color w:val="000000" w:themeColor="text1"/>
          <w:sz w:val="24"/>
          <w:u w:val="single"/>
          <w:lang w:val="en-US" w:eastAsia="zh-CN"/>
          <w14:textFill>
            <w14:solidFill>
              <w14:schemeClr w14:val="tx1"/>
            </w14:solidFill>
          </w14:textFill>
        </w:rPr>
        <w:t>》该地块作为教育科研用地使用。</w:t>
      </w:r>
      <w:r>
        <w:rPr>
          <w:rFonts w:hint="default" w:ascii="Times New Roman" w:hAnsi="Times New Roman" w:cs="Times New Roman"/>
          <w:color w:val="auto"/>
          <w:sz w:val="24"/>
          <w:szCs w:val="24"/>
          <w:u w:val="single"/>
        </w:rPr>
        <w:t>《土壤环境质量建设用地土壤环境污染风险管控标准》（GB36600-2018）</w:t>
      </w:r>
      <w:r>
        <w:rPr>
          <w:rFonts w:hint="default" w:ascii="Times New Roman" w:hAnsi="Times New Roman" w:cs="Times New Roman"/>
          <w:sz w:val="24"/>
          <w:szCs w:val="24"/>
          <w:u w:val="single"/>
        </w:rPr>
        <w:t>中将</w:t>
      </w:r>
      <w:r>
        <w:rPr>
          <w:rFonts w:hint="eastAsia" w:ascii="Times New Roman" w:hAnsi="Times New Roman" w:cs="Times New Roman"/>
          <w:sz w:val="24"/>
          <w:szCs w:val="24"/>
          <w:u w:val="single"/>
          <w:lang w:val="en-US" w:eastAsia="zh-CN"/>
        </w:rPr>
        <w:t>教育科研</w:t>
      </w:r>
      <w:r>
        <w:rPr>
          <w:rFonts w:hint="default" w:ascii="Times New Roman" w:hAnsi="Times New Roman" w:cs="Times New Roman"/>
          <w:sz w:val="24"/>
          <w:szCs w:val="24"/>
          <w:u w:val="single"/>
          <w:lang w:val="en-US" w:eastAsia="zh-CN"/>
        </w:rPr>
        <w:t>用地</w:t>
      </w:r>
      <w:r>
        <w:rPr>
          <w:rFonts w:hint="default" w:ascii="Times New Roman" w:hAnsi="Times New Roman" w:cs="Times New Roman"/>
          <w:sz w:val="24"/>
          <w:szCs w:val="24"/>
          <w:u w:val="single"/>
        </w:rPr>
        <w:t>划为第</w:t>
      </w:r>
      <w:r>
        <w:rPr>
          <w:rFonts w:hint="default" w:ascii="Times New Roman" w:hAnsi="Times New Roman" w:cs="Times New Roman"/>
          <w:sz w:val="24"/>
          <w:szCs w:val="24"/>
          <w:u w:val="single"/>
          <w:lang w:eastAsia="zh-CN"/>
        </w:rPr>
        <w:t>一</w:t>
      </w:r>
      <w:r>
        <w:rPr>
          <w:rFonts w:hint="default" w:ascii="Times New Roman" w:hAnsi="Times New Roman" w:cs="Times New Roman"/>
          <w:sz w:val="24"/>
          <w:szCs w:val="24"/>
          <w:u w:val="single"/>
        </w:rPr>
        <w:t>类用地</w:t>
      </w:r>
      <w:r>
        <w:rPr>
          <w:rFonts w:hint="default" w:ascii="Times New Roman" w:hAnsi="Times New Roman" w:cs="Times New Roman"/>
          <w:sz w:val="24"/>
          <w:szCs w:val="24"/>
          <w:u w:val="single"/>
          <w:lang w:eastAsia="zh-CN"/>
        </w:rPr>
        <w:t>。</w:t>
      </w:r>
    </w:p>
    <w:p>
      <w:pPr>
        <w:widowControl/>
        <w:spacing w:line="360" w:lineRule="auto"/>
        <w:jc w:val="left"/>
        <w:outlineLvl w:val="0"/>
        <w:rPr>
          <w:rFonts w:hint="default" w:ascii="Times New Roman" w:hAnsi="Times New Roman" w:eastAsia="黑体" w:cs="Times New Roman"/>
          <w:b/>
          <w:kern w:val="0"/>
          <w:sz w:val="28"/>
          <w:szCs w:val="26"/>
        </w:rPr>
      </w:pPr>
      <w:bookmarkStart w:id="326" w:name="_Toc21193"/>
      <w:bookmarkStart w:id="327" w:name="_Toc21823"/>
      <w:bookmarkStart w:id="328" w:name="_Toc3810"/>
      <w:bookmarkStart w:id="329" w:name="_Toc27714"/>
      <w:r>
        <w:rPr>
          <w:rFonts w:hint="default" w:ascii="Times New Roman" w:hAnsi="Times New Roman" w:eastAsia="黑体" w:cs="Times New Roman"/>
          <w:b/>
          <w:kern w:val="0"/>
          <w:sz w:val="28"/>
          <w:szCs w:val="26"/>
        </w:rPr>
        <w:t>3.</w:t>
      </w:r>
      <w:r>
        <w:rPr>
          <w:rFonts w:hint="default" w:ascii="Times New Roman" w:hAnsi="Times New Roman" w:eastAsia="黑体" w:cs="Times New Roman"/>
          <w:b/>
          <w:kern w:val="0"/>
          <w:sz w:val="28"/>
          <w:szCs w:val="26"/>
          <w:lang w:val="en-US" w:eastAsia="zh-CN"/>
        </w:rPr>
        <w:t>4</w:t>
      </w:r>
      <w:r>
        <w:rPr>
          <w:rFonts w:hint="default" w:ascii="Times New Roman" w:hAnsi="Times New Roman" w:eastAsia="黑体" w:cs="Times New Roman"/>
          <w:b/>
          <w:kern w:val="0"/>
          <w:sz w:val="28"/>
          <w:szCs w:val="26"/>
        </w:rPr>
        <w:t>地块周边敏感目标</w:t>
      </w:r>
      <w:bookmarkEnd w:id="318"/>
      <w:bookmarkEnd w:id="319"/>
      <w:bookmarkEnd w:id="320"/>
      <w:bookmarkEnd w:id="321"/>
      <w:bookmarkEnd w:id="322"/>
      <w:bookmarkEnd w:id="323"/>
      <w:bookmarkEnd w:id="324"/>
      <w:bookmarkEnd w:id="325"/>
      <w:bookmarkEnd w:id="326"/>
      <w:bookmarkEnd w:id="327"/>
      <w:bookmarkEnd w:id="328"/>
      <w:bookmarkEnd w:id="329"/>
    </w:p>
    <w:p>
      <w:pPr>
        <w:widowControl/>
        <w:spacing w:line="360" w:lineRule="auto"/>
        <w:ind w:firstLine="480" w:firstLineChars="200"/>
        <w:jc w:val="left"/>
        <w:rPr>
          <w:rFonts w:hint="eastAsia" w:ascii="Times New Roman" w:hAnsi="Times New Roman" w:eastAsia="宋体" w:cs="Times New Roman"/>
          <w:b/>
          <w:bCs/>
          <w:sz w:val="24"/>
          <w:szCs w:val="24"/>
          <w:u w:val="single"/>
          <w:lang w:eastAsia="zh-CN"/>
        </w:rPr>
      </w:pPr>
      <w:r>
        <w:rPr>
          <w:rFonts w:hint="eastAsia" w:ascii="Times New Roman" w:hAnsi="Times New Roman" w:cs="Times New Roman"/>
          <w:sz w:val="24"/>
          <w:szCs w:val="24"/>
          <w:u w:val="single"/>
          <w:lang w:eastAsia="zh-CN"/>
        </w:rPr>
        <w:t>河南经济贸易技师学校扩建工程</w:t>
      </w:r>
      <w:r>
        <w:rPr>
          <w:rFonts w:hint="default" w:ascii="Times New Roman" w:hAnsi="Times New Roman" w:cs="Times New Roman"/>
          <w:sz w:val="24"/>
          <w:szCs w:val="24"/>
          <w:u w:val="single"/>
          <w:lang w:eastAsia="zh-CN"/>
        </w:rPr>
        <w:t>地块</w:t>
      </w:r>
      <w:r>
        <w:rPr>
          <w:rFonts w:hint="default" w:ascii="Times New Roman" w:hAnsi="Times New Roman" w:cs="Times New Roman"/>
          <w:sz w:val="24"/>
          <w:szCs w:val="24"/>
          <w:u w:val="single"/>
        </w:rPr>
        <w:t>四周为居民区</w:t>
      </w:r>
      <w:r>
        <w:rPr>
          <w:rFonts w:hint="eastAsia" w:ascii="Times New Roman" w:hAnsi="Times New Roman" w:cs="Times New Roman"/>
          <w:sz w:val="24"/>
          <w:szCs w:val="24"/>
          <w:u w:val="single"/>
          <w:lang w:eastAsia="zh-CN"/>
        </w:rPr>
        <w:t>、学校及道路</w:t>
      </w:r>
      <w:r>
        <w:rPr>
          <w:rFonts w:hint="default" w:ascii="Times New Roman" w:hAnsi="Times New Roman" w:cs="Times New Roman"/>
          <w:sz w:val="24"/>
          <w:szCs w:val="24"/>
          <w:u w:val="single"/>
        </w:rPr>
        <w:t>，各敏感目标与项目区的位置关系等如</w:t>
      </w:r>
      <w:r>
        <w:rPr>
          <w:rFonts w:hint="default" w:ascii="Times New Roman" w:hAnsi="Times New Roman" w:cs="Times New Roman"/>
          <w:sz w:val="24"/>
          <w:szCs w:val="24"/>
          <w:u w:val="single"/>
          <w:lang w:val="en-US" w:eastAsia="zh-CN"/>
        </w:rPr>
        <w:t>表4</w:t>
      </w:r>
      <w:r>
        <w:rPr>
          <w:rFonts w:hint="default" w:ascii="Times New Roman" w:hAnsi="Times New Roman" w:cs="Times New Roman"/>
          <w:sz w:val="24"/>
          <w:szCs w:val="24"/>
          <w:u w:val="single"/>
        </w:rPr>
        <w:t>所示，场地周边敏感目标可见图</w:t>
      </w:r>
      <w:r>
        <w:rPr>
          <w:rFonts w:hint="default" w:ascii="Times New Roman" w:hAnsi="Times New Roman" w:cs="Times New Roman"/>
          <w:sz w:val="24"/>
          <w:szCs w:val="24"/>
          <w:u w:val="single"/>
          <w:lang w:val="en-US" w:eastAsia="zh-CN"/>
        </w:rPr>
        <w:t>12</w:t>
      </w:r>
      <w:r>
        <w:rPr>
          <w:rFonts w:hint="default" w:ascii="Times New Roman" w:hAnsi="Times New Roman" w:cs="Times New Roman"/>
          <w:sz w:val="24"/>
          <w:szCs w:val="24"/>
          <w:u w:val="single"/>
        </w:rPr>
        <w:t>。</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w:t>
      </w:r>
      <w:r>
        <w:rPr>
          <w:rFonts w:hint="default" w:ascii="Times New Roman" w:hAnsi="Times New Roman" w:cs="Times New Roman"/>
          <w:b/>
          <w:bCs/>
          <w:sz w:val="24"/>
          <w:szCs w:val="24"/>
          <w:lang w:val="en-US" w:eastAsia="zh-CN"/>
        </w:rPr>
        <w:t xml:space="preserve">4  </w:t>
      </w:r>
      <w:r>
        <w:rPr>
          <w:rFonts w:hint="default" w:ascii="Times New Roman" w:hAnsi="Times New Roman" w:cs="Times New Roman"/>
          <w:b/>
          <w:bCs/>
          <w:sz w:val="24"/>
          <w:szCs w:val="24"/>
        </w:rPr>
        <w:t>场地周边敏感目标信息表</w:t>
      </w:r>
    </w:p>
    <w:tbl>
      <w:tblPr>
        <w:tblStyle w:val="9"/>
        <w:tblW w:w="8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2695"/>
        <w:gridCol w:w="1541"/>
        <w:gridCol w:w="2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3"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类别</w:t>
            </w:r>
          </w:p>
        </w:tc>
        <w:tc>
          <w:tcPr>
            <w:tcW w:w="2695" w:type="dxa"/>
            <w:noWrap/>
            <w:vAlign w:val="center"/>
          </w:tcPr>
          <w:p>
            <w:pPr>
              <w:widowControl/>
              <w:spacing w:line="360" w:lineRule="auto"/>
              <w:ind w:firstLine="720" w:firstLineChars="300"/>
              <w:jc w:val="both"/>
              <w:rPr>
                <w:rFonts w:hint="default" w:ascii="Times New Roman" w:hAnsi="Times New Roman" w:cs="Times New Roman"/>
                <w:sz w:val="24"/>
                <w:szCs w:val="24"/>
              </w:rPr>
            </w:pPr>
            <w:r>
              <w:rPr>
                <w:rFonts w:hint="default" w:ascii="Times New Roman" w:hAnsi="Times New Roman" w:cs="Times New Roman"/>
                <w:sz w:val="24"/>
                <w:szCs w:val="24"/>
              </w:rPr>
              <w:t>敏感目标</w:t>
            </w:r>
          </w:p>
        </w:tc>
        <w:tc>
          <w:tcPr>
            <w:tcW w:w="1541"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方位</w:t>
            </w:r>
          </w:p>
        </w:tc>
        <w:tc>
          <w:tcPr>
            <w:tcW w:w="2832" w:type="dxa"/>
            <w:noWrap/>
            <w:vAlign w:val="center"/>
          </w:tcPr>
          <w:p>
            <w:pPr>
              <w:widowControl/>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距场地边界最近距离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3" w:type="dxa"/>
            <w:noWrap/>
            <w:vAlign w:val="center"/>
          </w:tcPr>
          <w:p>
            <w:pPr>
              <w:widowControl/>
              <w:spacing w:line="360" w:lineRule="auto"/>
              <w:ind w:firstLine="480" w:firstLineChars="200"/>
              <w:jc w:val="both"/>
              <w:rPr>
                <w:rFonts w:hint="default" w:ascii="Times New Roman" w:hAnsi="Times New Roman" w:cs="Times New Roman"/>
                <w:sz w:val="24"/>
                <w:szCs w:val="24"/>
              </w:rPr>
            </w:pPr>
            <w:r>
              <w:rPr>
                <w:rFonts w:hint="default" w:ascii="Times New Roman" w:hAnsi="Times New Roman" w:cs="Times New Roman"/>
                <w:sz w:val="24"/>
                <w:szCs w:val="24"/>
              </w:rPr>
              <w:t>居民区</w:t>
            </w:r>
          </w:p>
        </w:tc>
        <w:tc>
          <w:tcPr>
            <w:tcW w:w="2695" w:type="dxa"/>
            <w:noWrap/>
            <w:vAlign w:val="center"/>
          </w:tcPr>
          <w:p>
            <w:pPr>
              <w:widowControl/>
              <w:spacing w:line="360" w:lineRule="auto"/>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居民住房及商铺</w:t>
            </w:r>
          </w:p>
        </w:tc>
        <w:tc>
          <w:tcPr>
            <w:tcW w:w="1541" w:type="dxa"/>
            <w:noWrap/>
            <w:vAlign w:val="center"/>
          </w:tcPr>
          <w:p>
            <w:pPr>
              <w:widowControl/>
              <w:spacing w:line="360" w:lineRule="auto"/>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西</w:t>
            </w:r>
          </w:p>
        </w:tc>
        <w:tc>
          <w:tcPr>
            <w:tcW w:w="283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eastAsia" w:ascii="Times New Roman" w:hAnsi="Times New Roman" w:cs="Times New Roman"/>
                <w:sz w:val="24"/>
                <w:szCs w:val="24"/>
                <w:lang w:val="en-US" w:eastAsia="zh-CN"/>
              </w:rPr>
              <w:t>0</w:t>
            </w:r>
            <w:r>
              <w:rPr>
                <w:rFonts w:hint="default" w:ascii="Times New Roman" w:hAnsi="Times New Roman" w:cs="Times New Roman"/>
                <w:sz w:val="24"/>
                <w:szCs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663" w:type="dxa"/>
            <w:noWrap/>
            <w:vAlign w:val="center"/>
          </w:tcPr>
          <w:p>
            <w:pPr>
              <w:widowControl/>
              <w:spacing w:line="360" w:lineRule="auto"/>
              <w:ind w:firstLine="480" w:firstLineChars="200"/>
              <w:jc w:val="left"/>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学校</w:t>
            </w:r>
          </w:p>
        </w:tc>
        <w:tc>
          <w:tcPr>
            <w:tcW w:w="2695" w:type="dxa"/>
            <w:noWrap/>
            <w:vAlign w:val="center"/>
          </w:tcPr>
          <w:p>
            <w:pPr>
              <w:widowControl/>
              <w:spacing w:line="360" w:lineRule="auto"/>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河南经济贸易技师学校</w:t>
            </w:r>
          </w:p>
        </w:tc>
        <w:tc>
          <w:tcPr>
            <w:tcW w:w="1541" w:type="dxa"/>
            <w:noWrap/>
            <w:vAlign w:val="center"/>
          </w:tcPr>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南</w:t>
            </w:r>
          </w:p>
        </w:tc>
        <w:tc>
          <w:tcPr>
            <w:tcW w:w="2832" w:type="dxa"/>
            <w:noWrap/>
            <w:vAlign w:val="center"/>
          </w:tcPr>
          <w:p>
            <w:pPr>
              <w:widowControl/>
              <w:spacing w:line="360" w:lineRule="auto"/>
              <w:ind w:firstLine="480" w:firstLineChars="200"/>
              <w:rPr>
                <w:rFonts w:hint="default" w:ascii="Times New Roman" w:hAnsi="Times New Roman" w:cs="Times New Roman"/>
                <w:sz w:val="24"/>
                <w:szCs w:val="24"/>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rPr>
              <w:t>m</w:t>
            </w:r>
          </w:p>
        </w:tc>
      </w:tr>
    </w:tbl>
    <w:p/>
    <w:p>
      <w:pPr>
        <w:widowControl/>
        <w:spacing w:line="360" w:lineRule="auto"/>
        <w:jc w:val="left"/>
        <w:rPr>
          <w:rFonts w:hint="eastAsia" w:hAnsi="宋体"/>
          <w:b/>
          <w:bCs/>
          <w:sz w:val="24"/>
          <w:szCs w:val="24"/>
        </w:rPr>
      </w:pPr>
      <w:r>
        <w:rPr>
          <w:rFonts w:hint="eastAsia" w:hAnsi="宋体"/>
          <w:b/>
          <w:bCs/>
          <w:sz w:val="24"/>
          <w:szCs w:val="24"/>
          <w:lang w:eastAsia="zh-CN"/>
        </w:rPr>
        <w:drawing>
          <wp:inline distT="0" distB="0" distL="114300" distR="114300">
            <wp:extent cx="5291455" cy="2109470"/>
            <wp:effectExtent l="0" t="0" r="4445" b="5080"/>
            <wp:docPr id="13" name="图片 13" descr="微信截图_20201201144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截图_20201201144307"/>
                    <pic:cNvPicPr>
                      <a:picLocks noChangeAspect="1"/>
                    </pic:cNvPicPr>
                  </pic:nvPicPr>
                  <pic:blipFill>
                    <a:blip r:embed="rId8"/>
                    <a:stretch>
                      <a:fillRect/>
                    </a:stretch>
                  </pic:blipFill>
                  <pic:spPr>
                    <a:xfrm>
                      <a:off x="0" y="0"/>
                      <a:ext cx="5291455" cy="2109470"/>
                    </a:xfrm>
                    <a:prstGeom prst="rect">
                      <a:avLst/>
                    </a:prstGeom>
                  </pic:spPr>
                </pic:pic>
              </a:graphicData>
            </a:graphic>
          </wp:inline>
        </w:drawing>
      </w:r>
    </w:p>
    <w:p>
      <w:pPr>
        <w:widowControl/>
        <w:spacing w:line="360" w:lineRule="auto"/>
        <w:ind w:firstLine="1205" w:firstLineChars="500"/>
        <w:jc w:val="left"/>
        <w:rPr>
          <w:rFonts w:hAnsi="宋体"/>
          <w:sz w:val="24"/>
          <w:szCs w:val="24"/>
        </w:rPr>
      </w:pPr>
      <w:r>
        <w:rPr>
          <w:rFonts w:hint="eastAsia" w:hAnsi="宋体"/>
          <w:b/>
          <w:bCs/>
          <w:sz w:val="24"/>
          <w:szCs w:val="24"/>
        </w:rPr>
        <w:t>图</w:t>
      </w:r>
      <w:r>
        <w:rPr>
          <w:rFonts w:hint="eastAsia" w:hAnsi="宋体"/>
          <w:b/>
          <w:bCs/>
          <w:sz w:val="24"/>
          <w:szCs w:val="24"/>
          <w:lang w:val="en-US" w:eastAsia="zh-CN"/>
        </w:rPr>
        <w:t xml:space="preserve">12  </w:t>
      </w:r>
      <w:r>
        <w:rPr>
          <w:rFonts w:hint="eastAsia" w:hAnsi="宋体"/>
          <w:b/>
          <w:bCs/>
          <w:sz w:val="24"/>
          <w:szCs w:val="24"/>
          <w:lang w:eastAsia="zh-CN"/>
        </w:rPr>
        <w:t>河南经济贸易技师学校扩建项目地块</w:t>
      </w:r>
      <w:r>
        <w:rPr>
          <w:rFonts w:hint="eastAsia" w:hAnsi="宋体"/>
          <w:b/>
          <w:bCs/>
          <w:sz w:val="24"/>
          <w:szCs w:val="24"/>
        </w:rPr>
        <w:t>敏感目标分布图</w:t>
      </w:r>
    </w:p>
    <w:p>
      <w:pPr>
        <w:pStyle w:val="5"/>
        <w:spacing w:line="360" w:lineRule="auto"/>
        <w:outlineLvl w:val="9"/>
        <w:rPr>
          <w:rFonts w:hint="eastAsia" w:ascii="黑体" w:hAnsi="黑体" w:cs="黑体"/>
          <w:b/>
          <w:bCs/>
          <w:sz w:val="28"/>
          <w:szCs w:val="28"/>
        </w:rPr>
      </w:pPr>
      <w:bookmarkStart w:id="330" w:name="_Toc24452"/>
      <w:bookmarkStart w:id="331" w:name="_Toc15761"/>
      <w:bookmarkStart w:id="332" w:name="_Toc17887"/>
      <w:bookmarkStart w:id="333" w:name="_Toc27577070"/>
      <w:bookmarkStart w:id="334" w:name="_Toc21655"/>
      <w:bookmarkStart w:id="335" w:name="_Toc22374"/>
      <w:bookmarkStart w:id="336" w:name="_Toc18903"/>
      <w:bookmarkStart w:id="337" w:name="_Toc13733"/>
    </w:p>
    <w:p>
      <w:pPr>
        <w:pStyle w:val="5"/>
        <w:spacing w:line="360" w:lineRule="auto"/>
        <w:outlineLvl w:val="0"/>
        <w:rPr>
          <w:rFonts w:ascii="黑体" w:hAnsi="黑体" w:cs="黑体"/>
          <w:b/>
          <w:bCs/>
          <w:sz w:val="28"/>
          <w:szCs w:val="28"/>
        </w:rPr>
      </w:pPr>
      <w:bookmarkStart w:id="338" w:name="_Toc23120"/>
      <w:r>
        <w:rPr>
          <w:rFonts w:hint="eastAsia" w:ascii="黑体" w:hAnsi="黑体" w:cs="黑体"/>
          <w:b/>
          <w:bCs/>
          <w:sz w:val="28"/>
          <w:szCs w:val="28"/>
        </w:rPr>
        <w:t>3.</w:t>
      </w:r>
      <w:r>
        <w:rPr>
          <w:rFonts w:hint="eastAsia" w:ascii="黑体" w:hAnsi="黑体" w:cs="黑体"/>
          <w:b/>
          <w:bCs/>
          <w:sz w:val="28"/>
          <w:szCs w:val="28"/>
          <w:lang w:val="en-US" w:eastAsia="zh-CN"/>
        </w:rPr>
        <w:t>5</w:t>
      </w:r>
      <w:r>
        <w:rPr>
          <w:rFonts w:hint="eastAsia" w:ascii="黑体" w:hAnsi="黑体" w:cs="黑体"/>
          <w:b/>
          <w:bCs/>
          <w:sz w:val="28"/>
          <w:szCs w:val="28"/>
        </w:rPr>
        <w:t>污染物识别</w:t>
      </w:r>
      <w:bookmarkEnd w:id="330"/>
      <w:bookmarkEnd w:id="331"/>
      <w:bookmarkEnd w:id="332"/>
      <w:bookmarkEnd w:id="333"/>
      <w:bookmarkEnd w:id="334"/>
      <w:bookmarkEnd w:id="335"/>
      <w:bookmarkEnd w:id="336"/>
      <w:bookmarkEnd w:id="337"/>
      <w:bookmarkEnd w:id="338"/>
    </w:p>
    <w:p>
      <w:pPr>
        <w:widowControl/>
        <w:spacing w:line="360" w:lineRule="auto"/>
        <w:ind w:firstLine="480" w:firstLineChars="200"/>
        <w:jc w:val="left"/>
        <w:rPr>
          <w:rFonts w:hint="eastAsia" w:hAnsi="宋体"/>
          <w:b/>
          <w:bCs/>
          <w:sz w:val="24"/>
          <w:szCs w:val="24"/>
          <w:u w:val="single"/>
        </w:rPr>
      </w:pPr>
      <w:r>
        <w:rPr>
          <w:rFonts w:hint="eastAsia" w:hAnsi="宋体"/>
          <w:sz w:val="24"/>
          <w:szCs w:val="24"/>
          <w:u w:val="single"/>
        </w:rPr>
        <w:t>根据其</w:t>
      </w:r>
      <w:r>
        <w:rPr>
          <w:rFonts w:hint="eastAsia" w:hAnsi="宋体"/>
          <w:sz w:val="24"/>
          <w:szCs w:val="24"/>
          <w:u w:val="single"/>
          <w:lang w:eastAsia="zh-CN"/>
        </w:rPr>
        <w:t>历史</w:t>
      </w:r>
      <w:r>
        <w:rPr>
          <w:rFonts w:hint="eastAsia" w:hAnsi="宋体"/>
          <w:sz w:val="24"/>
          <w:szCs w:val="24"/>
          <w:u w:val="single"/>
        </w:rPr>
        <w:t>用途，</w:t>
      </w:r>
      <w:r>
        <w:rPr>
          <w:rFonts w:hint="eastAsia" w:ascii="Times New Roman" w:hAnsi="宋体"/>
          <w:sz w:val="24"/>
          <w:szCs w:val="24"/>
          <w:u w:val="single"/>
        </w:rPr>
        <w:t>分析认为涉及到的重点潜在</w:t>
      </w:r>
      <w:r>
        <w:rPr>
          <w:rFonts w:hint="eastAsia" w:ascii="Times New Roman" w:hAnsi="宋体"/>
          <w:color w:val="auto"/>
          <w:sz w:val="24"/>
          <w:szCs w:val="24"/>
          <w:u w:val="single"/>
        </w:rPr>
        <w:t>污染物</w:t>
      </w:r>
      <w:r>
        <w:rPr>
          <w:rFonts w:hint="eastAsia" w:ascii="Times New Roman" w:hAnsi="宋体"/>
          <w:sz w:val="24"/>
          <w:szCs w:val="24"/>
          <w:u w:val="single"/>
        </w:rPr>
        <w:t>主要</w:t>
      </w:r>
      <w:r>
        <w:rPr>
          <w:rFonts w:hint="eastAsia" w:ascii="Times New Roman" w:hAnsi="宋体"/>
          <w:color w:val="auto"/>
          <w:sz w:val="24"/>
          <w:szCs w:val="24"/>
          <w:u w:val="single"/>
        </w:rPr>
        <w:t>有部分有机物。</w:t>
      </w:r>
    </w:p>
    <w:p>
      <w:pPr>
        <w:pStyle w:val="5"/>
        <w:outlineLvl w:val="0"/>
        <w:rPr>
          <w:rFonts w:ascii="黑体" w:hAnsi="黑体" w:cs="黑体"/>
          <w:b/>
          <w:bCs/>
          <w:sz w:val="28"/>
          <w:szCs w:val="28"/>
        </w:rPr>
      </w:pPr>
      <w:bookmarkStart w:id="339" w:name="_Toc17236"/>
      <w:bookmarkStart w:id="340" w:name="_Toc17746"/>
      <w:bookmarkStart w:id="341" w:name="_Toc12364"/>
      <w:bookmarkStart w:id="342" w:name="_Toc21745"/>
      <w:bookmarkStart w:id="343" w:name="_Toc9335"/>
      <w:bookmarkStart w:id="344" w:name="_Toc27577072"/>
      <w:bookmarkStart w:id="345" w:name="_Toc7936"/>
      <w:bookmarkStart w:id="346" w:name="_Toc24551"/>
      <w:bookmarkStart w:id="347" w:name="_Toc25455"/>
      <w:r>
        <w:rPr>
          <w:rFonts w:hint="eastAsia" w:ascii="黑体" w:hAnsi="黑体" w:cs="黑体"/>
          <w:b/>
          <w:bCs/>
          <w:sz w:val="28"/>
          <w:szCs w:val="28"/>
        </w:rPr>
        <w:t>3.</w:t>
      </w:r>
      <w:r>
        <w:rPr>
          <w:rFonts w:hint="eastAsia" w:ascii="黑体" w:hAnsi="黑体" w:cs="黑体"/>
          <w:b/>
          <w:bCs/>
          <w:sz w:val="28"/>
          <w:szCs w:val="28"/>
          <w:lang w:val="en-US" w:eastAsia="zh-CN"/>
        </w:rPr>
        <w:t>6</w:t>
      </w:r>
      <w:r>
        <w:rPr>
          <w:rFonts w:hint="eastAsia" w:ascii="黑体" w:hAnsi="黑体" w:cs="黑体"/>
          <w:b/>
          <w:bCs/>
          <w:sz w:val="28"/>
          <w:szCs w:val="28"/>
        </w:rPr>
        <w:t>第一阶段地块土壤污染状况调查总结</w:t>
      </w:r>
      <w:bookmarkEnd w:id="339"/>
      <w:bookmarkEnd w:id="340"/>
      <w:bookmarkEnd w:id="341"/>
      <w:bookmarkEnd w:id="342"/>
      <w:bookmarkEnd w:id="343"/>
      <w:bookmarkEnd w:id="344"/>
      <w:bookmarkEnd w:id="345"/>
      <w:bookmarkEnd w:id="346"/>
      <w:bookmarkEnd w:id="347"/>
    </w:p>
    <w:p>
      <w:pPr>
        <w:widowControl/>
        <w:spacing w:line="360" w:lineRule="auto"/>
        <w:ind w:firstLine="480" w:firstLineChars="200"/>
        <w:jc w:val="left"/>
        <w:rPr>
          <w:rFonts w:hAnsi="宋体"/>
          <w:sz w:val="24"/>
          <w:szCs w:val="24"/>
        </w:rPr>
      </w:pPr>
      <w:r>
        <w:rPr>
          <w:rFonts w:hint="eastAsia" w:hAnsi="宋体"/>
          <w:sz w:val="24"/>
          <w:szCs w:val="24"/>
        </w:rPr>
        <w:t>通过资料收集、现场踏勘等方式，对</w:t>
      </w:r>
      <w:r>
        <w:rPr>
          <w:rFonts w:hint="eastAsia" w:hAnsi="宋体"/>
          <w:sz w:val="24"/>
          <w:szCs w:val="24"/>
          <w:lang w:eastAsia="zh-CN"/>
        </w:rPr>
        <w:t>河南经济贸易技师学校扩建工程地块</w:t>
      </w:r>
      <w:r>
        <w:rPr>
          <w:rFonts w:hint="eastAsia" w:hAnsi="宋体"/>
          <w:sz w:val="24"/>
          <w:szCs w:val="24"/>
        </w:rPr>
        <w:t>进行了第一阶段的地块土壤污染状况调查，得出结论如下:</w:t>
      </w:r>
    </w:p>
    <w:p>
      <w:pPr>
        <w:widowControl/>
        <w:spacing w:line="360" w:lineRule="auto"/>
        <w:ind w:firstLine="480" w:firstLineChars="200"/>
        <w:jc w:val="left"/>
        <w:rPr>
          <w:rFonts w:hAnsi="宋体"/>
          <w:sz w:val="24"/>
          <w:szCs w:val="24"/>
        </w:rPr>
      </w:pPr>
      <w:r>
        <w:rPr>
          <w:rFonts w:hint="eastAsia" w:hAnsi="宋体"/>
          <w:sz w:val="24"/>
          <w:szCs w:val="24"/>
        </w:rPr>
        <w:t>地块基本情况：地块此前为农业用地，区内主要种植的农作物为小麦和玉米，自然木本植物十分少见，多为人工经济林和农田林，自然植被多为草本植物，田间杂草，常见的有狗尾草、马唐、莎草、马齿菜等。</w:t>
      </w:r>
    </w:p>
    <w:p>
      <w:pPr>
        <w:widowControl/>
        <w:spacing w:line="360" w:lineRule="auto"/>
        <w:ind w:firstLine="480" w:firstLineChars="200"/>
        <w:jc w:val="left"/>
        <w:rPr>
          <w:rFonts w:hint="eastAsia" w:hAnsi="宋体" w:eastAsia="宋体"/>
          <w:sz w:val="24"/>
          <w:szCs w:val="24"/>
          <w:lang w:eastAsia="zh-CN"/>
        </w:rPr>
      </w:pPr>
      <w:r>
        <w:rPr>
          <w:rFonts w:hint="eastAsia" w:hAnsi="宋体"/>
          <w:sz w:val="24"/>
          <w:szCs w:val="24"/>
        </w:rPr>
        <w:t>（2）潜在的污染区域：</w:t>
      </w:r>
      <w:r>
        <w:rPr>
          <w:rFonts w:hint="eastAsia" w:hAnsi="宋体"/>
          <w:sz w:val="24"/>
          <w:szCs w:val="24"/>
          <w:lang w:eastAsia="zh-CN"/>
        </w:rPr>
        <w:t>地块及周边五百米范围内。</w:t>
      </w:r>
    </w:p>
    <w:p>
      <w:pPr>
        <w:widowControl/>
        <w:spacing w:line="360" w:lineRule="auto"/>
        <w:ind w:firstLine="480" w:firstLineChars="200"/>
        <w:jc w:val="left"/>
        <w:rPr>
          <w:rFonts w:hint="eastAsia" w:hAnsi="宋体" w:eastAsia="宋体"/>
          <w:sz w:val="24"/>
          <w:szCs w:val="24"/>
          <w:lang w:eastAsia="zh-CN"/>
        </w:rPr>
      </w:pPr>
      <w:r>
        <w:rPr>
          <w:rFonts w:hint="eastAsia" w:hAnsi="宋体"/>
          <w:sz w:val="24"/>
          <w:szCs w:val="24"/>
        </w:rPr>
        <w:t>（3）潜在污染因子：</w:t>
      </w:r>
      <w:r>
        <w:rPr>
          <w:rFonts w:hint="eastAsia" w:hAnsi="宋体"/>
          <w:sz w:val="24"/>
          <w:szCs w:val="24"/>
          <w:lang w:eastAsia="zh-CN"/>
        </w:rPr>
        <w:t>由于周边居民对于地块情况了解存在不确定性，结合地块周边情况，分析认为潜在的污染因子可能有部分有机物。</w:t>
      </w:r>
    </w:p>
    <w:p>
      <w:pPr>
        <w:widowControl/>
        <w:spacing w:line="360" w:lineRule="auto"/>
        <w:ind w:firstLine="480" w:firstLineChars="200"/>
        <w:jc w:val="left"/>
        <w:rPr>
          <w:rFonts w:hAnsi="宋体"/>
          <w:sz w:val="24"/>
          <w:szCs w:val="24"/>
        </w:rPr>
      </w:pPr>
      <w:r>
        <w:rPr>
          <w:rFonts w:hint="eastAsia" w:hAnsi="宋体"/>
          <w:sz w:val="24"/>
          <w:szCs w:val="24"/>
        </w:rPr>
        <w:t>根据以上分析结论，第一阶段调查认为地块存在</w:t>
      </w:r>
      <w:r>
        <w:rPr>
          <w:rFonts w:hint="eastAsia" w:hAnsi="宋体"/>
          <w:sz w:val="24"/>
          <w:szCs w:val="24"/>
          <w:lang w:eastAsia="zh-CN"/>
        </w:rPr>
        <w:t>污染状况不确定性，有必要进行第二阶段调查</w:t>
      </w:r>
      <w:r>
        <w:rPr>
          <w:rFonts w:hint="eastAsia" w:hAnsi="宋体"/>
          <w:sz w:val="24"/>
          <w:szCs w:val="24"/>
        </w:rPr>
        <w:t>。</w:t>
      </w:r>
    </w:p>
    <w:p>
      <w:pPr>
        <w:pStyle w:val="4"/>
        <w:keepNext w:val="0"/>
        <w:keepLines w:val="0"/>
        <w:spacing w:beforeLines="50" w:afterLines="50" w:line="360" w:lineRule="auto"/>
        <w:ind w:firstLine="0" w:firstLineChars="0"/>
        <w:contextualSpacing/>
        <w:jc w:val="center"/>
        <w:rPr>
          <w:rStyle w:val="15"/>
          <w:rFonts w:ascii="黑体" w:hAnsi="黑体" w:eastAsia="黑体"/>
          <w:b/>
          <w:bCs/>
        </w:rPr>
      </w:pPr>
      <w:bookmarkStart w:id="348" w:name="_Toc25673269"/>
      <w:bookmarkStart w:id="349" w:name="_Toc32165"/>
      <w:bookmarkStart w:id="350" w:name="_Toc1352"/>
      <w:bookmarkStart w:id="351" w:name="_Toc11223"/>
      <w:bookmarkStart w:id="352" w:name="_Toc18526"/>
      <w:bookmarkStart w:id="353" w:name="_Toc27078368"/>
      <w:bookmarkStart w:id="354" w:name="_Toc27577073"/>
      <w:bookmarkStart w:id="355" w:name="_Toc32292"/>
      <w:bookmarkStart w:id="356" w:name="_Toc6691"/>
      <w:bookmarkStart w:id="357" w:name="_Toc48673374"/>
      <w:bookmarkStart w:id="358" w:name="_Toc21315"/>
      <w:bookmarkStart w:id="359" w:name="_Toc25974"/>
      <w:bookmarkStart w:id="360" w:name="_Toc11973"/>
      <w:r>
        <w:rPr>
          <w:rStyle w:val="15"/>
          <w:rFonts w:hint="eastAsia" w:ascii="黑体" w:hAnsi="黑体" w:eastAsia="黑体" w:cstheme="minorBidi"/>
          <w:b/>
          <w:bCs/>
        </w:rPr>
        <w:t>4</w:t>
      </w:r>
      <w:bookmarkEnd w:id="348"/>
      <w:r>
        <w:rPr>
          <w:rStyle w:val="15"/>
          <w:rFonts w:hint="eastAsia" w:ascii="黑体" w:hAnsi="黑体" w:eastAsia="黑体" w:cstheme="minorBidi"/>
          <w:b/>
          <w:bCs/>
        </w:rPr>
        <w:t>第二阶段采样分析</w:t>
      </w:r>
      <w:bookmarkEnd w:id="349"/>
      <w:bookmarkEnd w:id="350"/>
      <w:bookmarkEnd w:id="351"/>
      <w:bookmarkEnd w:id="352"/>
      <w:bookmarkEnd w:id="353"/>
      <w:bookmarkEnd w:id="354"/>
      <w:bookmarkEnd w:id="355"/>
      <w:bookmarkEnd w:id="356"/>
      <w:bookmarkEnd w:id="357"/>
      <w:bookmarkEnd w:id="358"/>
      <w:bookmarkEnd w:id="359"/>
      <w:bookmarkEnd w:id="360"/>
    </w:p>
    <w:p>
      <w:pPr>
        <w:widowControl/>
        <w:spacing w:line="360" w:lineRule="auto"/>
        <w:ind w:firstLine="480" w:firstLineChars="200"/>
        <w:jc w:val="left"/>
        <w:rPr>
          <w:rFonts w:hAnsi="宋体"/>
          <w:sz w:val="24"/>
          <w:szCs w:val="24"/>
        </w:rPr>
      </w:pPr>
      <w:r>
        <w:rPr>
          <w:rFonts w:hint="eastAsia" w:hAnsi="宋体"/>
          <w:sz w:val="24"/>
          <w:szCs w:val="24"/>
        </w:rPr>
        <w:t>依据国家《建设用地土壤污染状况调查技术导则》（HJ25.1-2019）、《建设用地土壤污染风险管控和修复监测技术导则》（HJ25.2-2019），在第一阶段地块土壤污染状况调查的基础上布设采样点，分析和确认地块是否存在潜在风险及关注污染物，确认地块潜在污染源的位置，并初步确定污染程度。</w:t>
      </w:r>
    </w:p>
    <w:p>
      <w:pPr>
        <w:pStyle w:val="5"/>
        <w:keepNext w:val="0"/>
        <w:keepLines w:val="0"/>
        <w:widowControl/>
        <w:spacing w:line="360" w:lineRule="auto"/>
        <w:contextualSpacing/>
        <w:jc w:val="left"/>
        <w:outlineLvl w:val="0"/>
        <w:rPr>
          <w:rFonts w:ascii="Times New Roman" w:hAnsi="Times New Roman"/>
          <w:b/>
          <w:kern w:val="0"/>
          <w:sz w:val="28"/>
          <w:szCs w:val="26"/>
        </w:rPr>
      </w:pPr>
      <w:bookmarkStart w:id="361" w:name="_Toc32004"/>
      <w:bookmarkStart w:id="362" w:name="_Toc22911"/>
      <w:bookmarkStart w:id="363" w:name="_Toc8129"/>
      <w:bookmarkStart w:id="364" w:name="_Toc15860"/>
      <w:bookmarkStart w:id="365" w:name="_Toc27078369"/>
      <w:bookmarkStart w:id="366" w:name="_Toc15366"/>
      <w:bookmarkStart w:id="367" w:name="_Toc14362181"/>
      <w:bookmarkStart w:id="368" w:name="_Toc29351"/>
      <w:bookmarkStart w:id="369" w:name="_Toc23595"/>
      <w:bookmarkStart w:id="370" w:name="_Toc27577074"/>
      <w:bookmarkStart w:id="371" w:name="_Toc2542"/>
      <w:bookmarkStart w:id="372" w:name="_Toc25673271"/>
      <w:r>
        <w:rPr>
          <w:rFonts w:hint="eastAsia" w:ascii="Times New Roman" w:hAnsi="Times New Roman"/>
          <w:b/>
          <w:kern w:val="0"/>
          <w:sz w:val="28"/>
          <w:szCs w:val="26"/>
        </w:rPr>
        <w:t>4.1布点工作</w:t>
      </w:r>
      <w:bookmarkEnd w:id="361"/>
      <w:bookmarkEnd w:id="362"/>
      <w:bookmarkEnd w:id="363"/>
      <w:bookmarkEnd w:id="364"/>
      <w:bookmarkEnd w:id="365"/>
      <w:bookmarkEnd w:id="366"/>
      <w:bookmarkEnd w:id="367"/>
      <w:bookmarkEnd w:id="368"/>
      <w:bookmarkEnd w:id="369"/>
      <w:bookmarkEnd w:id="370"/>
      <w:bookmarkEnd w:id="371"/>
    </w:p>
    <w:bookmarkEnd w:id="372"/>
    <w:p>
      <w:pPr>
        <w:spacing w:line="360" w:lineRule="auto"/>
        <w:ind w:firstLine="482" w:firstLineChars="200"/>
        <w:rPr>
          <w:rFonts w:ascii="Times New Roman" w:hAnsi="宋体"/>
          <w:b/>
          <w:sz w:val="24"/>
          <w:szCs w:val="24"/>
        </w:rPr>
      </w:pPr>
      <w:r>
        <w:rPr>
          <w:rFonts w:hint="eastAsia" w:ascii="Times New Roman" w:hAnsi="宋体"/>
          <w:b/>
          <w:sz w:val="24"/>
          <w:szCs w:val="24"/>
        </w:rPr>
        <w:t>4.1.1布设原则</w:t>
      </w:r>
    </w:p>
    <w:p>
      <w:pPr>
        <w:widowControl/>
        <w:spacing w:line="360" w:lineRule="auto"/>
        <w:ind w:firstLine="480" w:firstLineChars="200"/>
        <w:jc w:val="left"/>
        <w:rPr>
          <w:rFonts w:hAnsi="宋体"/>
          <w:sz w:val="24"/>
          <w:szCs w:val="24"/>
        </w:rPr>
      </w:pPr>
      <w:r>
        <w:rPr>
          <w:rFonts w:hint="eastAsia" w:hAnsi="宋体"/>
          <w:sz w:val="24"/>
          <w:szCs w:val="24"/>
        </w:rPr>
        <w:t>1、合理性原则</w:t>
      </w:r>
    </w:p>
    <w:p>
      <w:pPr>
        <w:widowControl/>
        <w:spacing w:line="360" w:lineRule="auto"/>
        <w:ind w:firstLine="480" w:firstLineChars="200"/>
        <w:jc w:val="left"/>
        <w:rPr>
          <w:rFonts w:hAnsi="宋体"/>
          <w:sz w:val="24"/>
          <w:szCs w:val="24"/>
        </w:rPr>
      </w:pPr>
      <w:r>
        <w:rPr>
          <w:rFonts w:hint="eastAsia" w:hAnsi="宋体"/>
          <w:sz w:val="24"/>
          <w:szCs w:val="24"/>
        </w:rPr>
        <w:t>按照《建设用地土壤污染状况调查技术导则》（HJ 25.1—2019）确定的技术路线，围绕地块重点区域，合理划定土壤污染状况调查地块，突出重点。</w:t>
      </w:r>
    </w:p>
    <w:p>
      <w:pPr>
        <w:widowControl/>
        <w:spacing w:line="360" w:lineRule="auto"/>
        <w:ind w:firstLine="480" w:firstLineChars="200"/>
        <w:jc w:val="left"/>
        <w:rPr>
          <w:rFonts w:hAnsi="宋体"/>
          <w:sz w:val="24"/>
          <w:szCs w:val="24"/>
        </w:rPr>
      </w:pPr>
      <w:r>
        <w:rPr>
          <w:rFonts w:hint="eastAsia" w:hAnsi="宋体"/>
          <w:sz w:val="24"/>
          <w:szCs w:val="24"/>
        </w:rPr>
        <w:t>2、可行性原则</w:t>
      </w:r>
    </w:p>
    <w:p>
      <w:pPr>
        <w:widowControl/>
        <w:spacing w:line="360" w:lineRule="auto"/>
        <w:ind w:firstLine="480" w:firstLineChars="200"/>
        <w:jc w:val="left"/>
        <w:rPr>
          <w:rFonts w:hAnsi="宋体"/>
          <w:sz w:val="24"/>
          <w:szCs w:val="24"/>
        </w:rPr>
      </w:pPr>
      <w:r>
        <w:rPr>
          <w:rFonts w:hint="eastAsia" w:hAnsi="宋体"/>
          <w:sz w:val="24"/>
          <w:szCs w:val="24"/>
        </w:rPr>
        <w:t>根据本次调查的目标和任务，充分考虑采样时间、采样工作量等因素，统筹确定布点采样方案。</w:t>
      </w:r>
    </w:p>
    <w:p>
      <w:pPr>
        <w:widowControl/>
        <w:spacing w:line="360" w:lineRule="auto"/>
        <w:ind w:firstLine="480" w:firstLineChars="200"/>
        <w:jc w:val="left"/>
        <w:rPr>
          <w:rFonts w:hAnsi="宋体"/>
          <w:sz w:val="24"/>
          <w:szCs w:val="24"/>
        </w:rPr>
      </w:pPr>
      <w:r>
        <w:rPr>
          <w:rFonts w:hint="eastAsia" w:hAnsi="宋体"/>
          <w:sz w:val="24"/>
          <w:szCs w:val="24"/>
        </w:rPr>
        <w:t>3、经济性原则</w:t>
      </w:r>
    </w:p>
    <w:p>
      <w:pPr>
        <w:widowControl/>
        <w:spacing w:line="360" w:lineRule="auto"/>
        <w:ind w:firstLine="480" w:firstLineChars="200"/>
        <w:jc w:val="left"/>
        <w:rPr>
          <w:rFonts w:hAnsi="宋体"/>
          <w:sz w:val="24"/>
          <w:szCs w:val="24"/>
        </w:rPr>
      </w:pPr>
      <w:r>
        <w:rPr>
          <w:rFonts w:hint="eastAsia" w:hAnsi="宋体"/>
          <w:sz w:val="24"/>
          <w:szCs w:val="24"/>
        </w:rPr>
        <w:t>确保点位代表性最大化，最大限度节约采样成本。</w:t>
      </w:r>
    </w:p>
    <w:p>
      <w:pPr>
        <w:widowControl/>
        <w:spacing w:line="360" w:lineRule="auto"/>
        <w:ind w:firstLine="480" w:firstLineChars="200"/>
        <w:jc w:val="left"/>
        <w:rPr>
          <w:rFonts w:hAnsi="宋体"/>
          <w:sz w:val="24"/>
          <w:szCs w:val="24"/>
        </w:rPr>
      </w:pPr>
      <w:r>
        <w:rPr>
          <w:rFonts w:hint="eastAsia" w:hAnsi="宋体"/>
          <w:sz w:val="24"/>
          <w:szCs w:val="24"/>
        </w:rPr>
        <w:t>4、差异性原则</w:t>
      </w:r>
    </w:p>
    <w:p>
      <w:pPr>
        <w:widowControl/>
        <w:spacing w:line="360" w:lineRule="auto"/>
        <w:ind w:firstLine="480" w:firstLineChars="200"/>
        <w:jc w:val="left"/>
        <w:rPr>
          <w:rFonts w:hAnsi="宋体"/>
          <w:sz w:val="24"/>
          <w:szCs w:val="24"/>
        </w:rPr>
      </w:pPr>
      <w:r>
        <w:rPr>
          <w:rFonts w:hint="eastAsia" w:hAnsi="宋体"/>
          <w:sz w:val="24"/>
          <w:szCs w:val="24"/>
        </w:rPr>
        <w:t>充分考虑不同地区土壤污染程度和土壤环境特征，有针对性的确定调查精度，进行差异化布点。</w:t>
      </w:r>
    </w:p>
    <w:p>
      <w:pPr>
        <w:spacing w:line="360" w:lineRule="auto"/>
        <w:ind w:firstLine="480" w:firstLineChars="200"/>
        <w:rPr>
          <w:rFonts w:ascii="Times New Roman" w:hAnsi="宋体" w:eastAsia="Times New Roman"/>
          <w:b/>
          <w:sz w:val="24"/>
          <w:szCs w:val="24"/>
        </w:rPr>
      </w:pPr>
      <w:r>
        <w:rPr>
          <w:rFonts w:hint="eastAsia" w:ascii="Times New Roman" w:hAnsi="宋体" w:eastAsia="Times New Roman"/>
          <w:b/>
          <w:sz w:val="24"/>
          <w:szCs w:val="24"/>
        </w:rPr>
        <w:t>4.1.2布设准备</w:t>
      </w:r>
    </w:p>
    <w:p>
      <w:pPr>
        <w:widowControl/>
        <w:spacing w:line="360" w:lineRule="auto"/>
        <w:ind w:firstLine="480" w:firstLineChars="200"/>
        <w:jc w:val="left"/>
        <w:rPr>
          <w:rFonts w:hAnsi="宋体"/>
          <w:sz w:val="24"/>
          <w:szCs w:val="24"/>
        </w:rPr>
      </w:pPr>
      <w:r>
        <w:rPr>
          <w:rFonts w:hint="eastAsia" w:hAnsi="宋体"/>
          <w:sz w:val="24"/>
          <w:szCs w:val="24"/>
        </w:rPr>
        <w:t>(1)辅助设备与底图准备</w:t>
      </w:r>
    </w:p>
    <w:p>
      <w:pPr>
        <w:widowControl/>
        <w:spacing w:line="360" w:lineRule="auto"/>
        <w:ind w:firstLine="480" w:firstLineChars="200"/>
        <w:jc w:val="left"/>
        <w:rPr>
          <w:rFonts w:hAnsi="宋体"/>
          <w:sz w:val="24"/>
          <w:szCs w:val="24"/>
        </w:rPr>
      </w:pPr>
      <w:r>
        <w:rPr>
          <w:rFonts w:hint="eastAsia" w:hAnsi="宋体"/>
          <w:sz w:val="24"/>
          <w:szCs w:val="24"/>
        </w:rPr>
        <w:t>提前准备好全球地位系统（GPS）、数码相机、采样铲、笔记本电脑、打印机等。</w:t>
      </w:r>
    </w:p>
    <w:p>
      <w:pPr>
        <w:widowControl/>
        <w:spacing w:line="360" w:lineRule="auto"/>
        <w:ind w:firstLine="480" w:firstLineChars="200"/>
        <w:jc w:val="left"/>
        <w:rPr>
          <w:rFonts w:hAnsi="宋体"/>
          <w:sz w:val="24"/>
          <w:szCs w:val="24"/>
        </w:rPr>
      </w:pPr>
      <w:r>
        <w:rPr>
          <w:rFonts w:hint="eastAsia" w:hAnsi="宋体"/>
          <w:sz w:val="24"/>
          <w:szCs w:val="24"/>
        </w:rPr>
        <w:t>(2)资料整理</w:t>
      </w:r>
    </w:p>
    <w:p>
      <w:pPr>
        <w:widowControl/>
        <w:spacing w:line="360" w:lineRule="auto"/>
        <w:ind w:firstLine="480" w:firstLineChars="200"/>
        <w:jc w:val="left"/>
        <w:rPr>
          <w:rFonts w:hAnsi="宋体"/>
          <w:sz w:val="24"/>
          <w:szCs w:val="24"/>
        </w:rPr>
      </w:pPr>
      <w:r>
        <w:rPr>
          <w:rFonts w:hint="eastAsia" w:hAnsi="宋体"/>
          <w:sz w:val="24"/>
          <w:szCs w:val="24"/>
        </w:rPr>
        <w:t>对前期收集资料进行整理，辅助核实调整布点使用。</w:t>
      </w:r>
    </w:p>
    <w:p>
      <w:pPr>
        <w:spacing w:line="360" w:lineRule="auto"/>
        <w:ind w:firstLine="480" w:firstLineChars="200"/>
        <w:rPr>
          <w:rFonts w:ascii="Times New Roman" w:hAnsi="宋体" w:eastAsia="Times New Roman"/>
          <w:b/>
          <w:sz w:val="24"/>
          <w:szCs w:val="24"/>
        </w:rPr>
      </w:pPr>
      <w:r>
        <w:rPr>
          <w:rFonts w:hint="eastAsia" w:ascii="Times New Roman" w:hAnsi="宋体" w:eastAsia="Times New Roman"/>
          <w:b/>
          <w:sz w:val="24"/>
          <w:szCs w:val="24"/>
        </w:rPr>
        <w:t>4.1.3土壤样品点的布设</w:t>
      </w:r>
    </w:p>
    <w:p>
      <w:pPr>
        <w:widowControl/>
        <w:spacing w:line="360" w:lineRule="auto"/>
        <w:ind w:firstLine="480" w:firstLineChars="200"/>
        <w:jc w:val="left"/>
        <w:rPr>
          <w:rFonts w:hAnsi="宋体"/>
          <w:sz w:val="24"/>
          <w:szCs w:val="24"/>
        </w:rPr>
      </w:pPr>
      <w:r>
        <w:rPr>
          <w:rFonts w:hint="eastAsia" w:hAnsi="宋体"/>
          <w:sz w:val="24"/>
          <w:szCs w:val="24"/>
        </w:rPr>
        <w:t>(1)</w:t>
      </w:r>
      <w:r>
        <w:rPr>
          <w:rFonts w:hint="eastAsia" w:hAnsi="宋体"/>
          <w:sz w:val="24"/>
          <w:szCs w:val="24"/>
          <w:lang w:eastAsia="zh-CN"/>
        </w:rPr>
        <w:t>地块</w:t>
      </w:r>
      <w:r>
        <w:rPr>
          <w:rFonts w:hint="eastAsia" w:hAnsi="宋体"/>
          <w:sz w:val="24"/>
          <w:szCs w:val="24"/>
        </w:rPr>
        <w:t>土壤样品点的布设</w:t>
      </w:r>
    </w:p>
    <w:p>
      <w:pPr>
        <w:widowControl/>
        <w:spacing w:line="360" w:lineRule="auto"/>
        <w:ind w:firstLine="480" w:firstLineChars="200"/>
        <w:jc w:val="left"/>
        <w:rPr>
          <w:rFonts w:hAnsi="宋体"/>
          <w:color w:val="auto"/>
          <w:sz w:val="24"/>
          <w:szCs w:val="24"/>
        </w:rPr>
      </w:pPr>
      <w:r>
        <w:rPr>
          <w:rFonts w:hint="eastAsia" w:hAnsi="宋体"/>
          <w:sz w:val="24"/>
          <w:szCs w:val="24"/>
        </w:rPr>
        <w:t>根据《建设用地土壤环境调查评估技术指南》要求，初步调查阶段，地块面积≥5000m</w:t>
      </w:r>
      <w:r>
        <w:rPr>
          <w:rFonts w:hint="eastAsia" w:hAnsi="宋体"/>
          <w:sz w:val="24"/>
          <w:szCs w:val="24"/>
          <w:vertAlign w:val="superscript"/>
        </w:rPr>
        <w:t>2</w:t>
      </w:r>
      <w:r>
        <w:rPr>
          <w:rFonts w:hint="eastAsia" w:hAnsi="宋体"/>
          <w:sz w:val="24"/>
          <w:szCs w:val="24"/>
        </w:rPr>
        <w:t>，土壤采样点位数不少于6个。本</w:t>
      </w:r>
      <w:r>
        <w:rPr>
          <w:rFonts w:hint="eastAsia" w:hAnsi="宋体"/>
          <w:sz w:val="24"/>
          <w:szCs w:val="24"/>
          <w:lang w:eastAsia="zh-CN"/>
        </w:rPr>
        <w:t>地块</w:t>
      </w:r>
      <w:r>
        <w:rPr>
          <w:rFonts w:hint="eastAsia" w:hAnsi="宋体"/>
          <w:sz w:val="24"/>
          <w:szCs w:val="24"/>
        </w:rPr>
        <w:t>面积为</w:t>
      </w:r>
      <w:r>
        <w:rPr>
          <w:rFonts w:hint="eastAsia" w:hAnsi="宋体"/>
          <w:sz w:val="24"/>
          <w:szCs w:val="24"/>
          <w:lang w:val="en-US" w:eastAsia="zh-CN"/>
        </w:rPr>
        <w:t>16948.32m</w:t>
      </w:r>
      <w:r>
        <w:rPr>
          <w:rFonts w:hint="eastAsia" w:hAnsi="宋体"/>
          <w:sz w:val="24"/>
          <w:szCs w:val="24"/>
          <w:vertAlign w:val="superscript"/>
          <w:lang w:val="en-US" w:eastAsia="zh-CN"/>
        </w:rPr>
        <w:t>2</w:t>
      </w:r>
      <w:r>
        <w:rPr>
          <w:rFonts w:hint="eastAsia" w:hAnsi="宋体"/>
          <w:sz w:val="24"/>
          <w:szCs w:val="24"/>
        </w:rPr>
        <w:t>，根据前期踏勘、访谈的结果及对收集到的资料的分析，</w:t>
      </w:r>
      <w:r>
        <w:rPr>
          <w:rFonts w:hint="eastAsia" w:hAnsi="宋体"/>
          <w:color w:val="auto"/>
          <w:sz w:val="24"/>
          <w:szCs w:val="24"/>
        </w:rPr>
        <w:t>按照布设采样点的针对性、规范性、可操作性原则，运用分区布点法布设了</w:t>
      </w:r>
      <w:r>
        <w:rPr>
          <w:rFonts w:hint="eastAsia" w:hAnsi="宋体"/>
          <w:color w:val="auto"/>
          <w:sz w:val="24"/>
          <w:szCs w:val="24"/>
          <w:lang w:val="en-US" w:eastAsia="zh-CN"/>
        </w:rPr>
        <w:t>7</w:t>
      </w:r>
      <w:r>
        <w:rPr>
          <w:rFonts w:hint="eastAsia" w:hAnsi="宋体"/>
          <w:color w:val="auto"/>
          <w:sz w:val="24"/>
          <w:szCs w:val="24"/>
        </w:rPr>
        <w:t>个土壤采样点（</w:t>
      </w:r>
      <w:r>
        <w:rPr>
          <w:rFonts w:hint="eastAsia" w:hAnsi="宋体"/>
          <w:color w:val="auto"/>
          <w:sz w:val="24"/>
          <w:szCs w:val="24"/>
          <w:lang w:eastAsia="zh-CN"/>
        </w:rPr>
        <w:t>七个点位均为厂区内点位，采样深度为</w:t>
      </w:r>
      <w:r>
        <w:rPr>
          <w:rFonts w:hint="eastAsia" w:hAnsi="宋体"/>
          <w:color w:val="auto"/>
          <w:sz w:val="24"/>
          <w:szCs w:val="24"/>
          <w:lang w:val="en-US" w:eastAsia="zh-CN"/>
        </w:rPr>
        <w:t>3m</w:t>
      </w:r>
      <w:r>
        <w:rPr>
          <w:rFonts w:hint="eastAsia" w:hAnsi="宋体"/>
          <w:color w:val="auto"/>
          <w:sz w:val="24"/>
          <w:szCs w:val="24"/>
        </w:rPr>
        <w:t>），采样点详细见下表</w:t>
      </w:r>
      <w:r>
        <w:rPr>
          <w:rFonts w:hint="eastAsia" w:hAnsi="宋体"/>
          <w:color w:val="auto"/>
          <w:sz w:val="24"/>
          <w:szCs w:val="24"/>
          <w:lang w:val="en-US" w:eastAsia="zh-CN"/>
        </w:rPr>
        <w:t>5</w:t>
      </w:r>
      <w:r>
        <w:rPr>
          <w:rFonts w:hint="eastAsia" w:hAnsi="宋体"/>
          <w:color w:val="auto"/>
          <w:sz w:val="24"/>
          <w:szCs w:val="24"/>
        </w:rPr>
        <w:t>：</w:t>
      </w:r>
    </w:p>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5267325" cy="2933700"/>
            <wp:effectExtent l="0" t="0" r="9525" b="0"/>
            <wp:docPr id="16" name="图片 16" descr="微信截图_2020112810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截图_20201128101006"/>
                    <pic:cNvPicPr>
                      <a:picLocks noChangeAspect="1"/>
                    </pic:cNvPicPr>
                  </pic:nvPicPr>
                  <pic:blipFill>
                    <a:blip r:embed="rId19"/>
                    <a:stretch>
                      <a:fillRect/>
                    </a:stretch>
                  </pic:blipFill>
                  <pic:spPr>
                    <a:xfrm>
                      <a:off x="0" y="0"/>
                      <a:ext cx="5267325" cy="2933700"/>
                    </a:xfrm>
                    <a:prstGeom prst="rect">
                      <a:avLst/>
                    </a:prstGeom>
                  </pic:spPr>
                </pic:pic>
              </a:graphicData>
            </a:graphic>
          </wp:inline>
        </w:drawing>
      </w:r>
    </w:p>
    <w:p>
      <w:pPr>
        <w:widowControl/>
        <w:spacing w:line="360" w:lineRule="auto"/>
        <w:ind w:firstLine="482" w:firstLineChars="200"/>
        <w:jc w:val="center"/>
        <w:rPr>
          <w:rFonts w:hAnsi="宋体"/>
          <w:b/>
          <w:bCs/>
          <w:sz w:val="24"/>
          <w:szCs w:val="24"/>
        </w:rPr>
      </w:pPr>
      <w:r>
        <w:rPr>
          <w:rFonts w:hint="eastAsia" w:hAnsi="宋体"/>
          <w:b/>
          <w:bCs/>
          <w:sz w:val="24"/>
          <w:szCs w:val="24"/>
        </w:rPr>
        <w:t>图</w:t>
      </w:r>
      <w:r>
        <w:rPr>
          <w:rFonts w:hint="eastAsia" w:hAnsi="宋体"/>
          <w:b/>
          <w:bCs/>
          <w:sz w:val="24"/>
          <w:szCs w:val="24"/>
          <w:lang w:val="en-US" w:eastAsia="zh-CN"/>
        </w:rPr>
        <w:t xml:space="preserve">13 </w:t>
      </w:r>
      <w:r>
        <w:rPr>
          <w:rFonts w:hint="eastAsia" w:hAnsi="宋体"/>
          <w:b/>
          <w:bCs/>
          <w:sz w:val="24"/>
          <w:szCs w:val="24"/>
          <w:lang w:eastAsia="zh-CN"/>
        </w:rPr>
        <w:t>地块</w:t>
      </w:r>
      <w:r>
        <w:rPr>
          <w:rFonts w:hint="eastAsia" w:hAnsi="宋体"/>
          <w:b/>
          <w:bCs/>
          <w:sz w:val="24"/>
          <w:szCs w:val="24"/>
        </w:rPr>
        <w:t>土壤采样布点图</w:t>
      </w:r>
    </w:p>
    <w:p>
      <w:pPr>
        <w:widowControl/>
        <w:spacing w:line="360" w:lineRule="auto"/>
        <w:ind w:firstLine="482" w:firstLineChars="200"/>
        <w:jc w:val="center"/>
        <w:rPr>
          <w:rFonts w:hAnsi="宋体"/>
          <w:b/>
          <w:bCs/>
          <w:sz w:val="24"/>
          <w:szCs w:val="24"/>
        </w:rPr>
      </w:pPr>
      <w:r>
        <w:rPr>
          <w:rFonts w:hint="eastAsia" w:hAnsi="宋体"/>
          <w:b/>
          <w:bCs/>
          <w:sz w:val="24"/>
          <w:szCs w:val="24"/>
        </w:rPr>
        <w:t>表</w:t>
      </w:r>
      <w:r>
        <w:rPr>
          <w:rFonts w:hint="eastAsia" w:hAnsi="宋体"/>
          <w:b/>
          <w:bCs/>
          <w:sz w:val="24"/>
          <w:szCs w:val="24"/>
          <w:lang w:val="en-US" w:eastAsia="zh-CN"/>
        </w:rPr>
        <w:t xml:space="preserve">5 </w:t>
      </w:r>
      <w:r>
        <w:rPr>
          <w:rFonts w:hint="eastAsia" w:hAnsi="宋体"/>
          <w:b/>
          <w:bCs/>
          <w:sz w:val="24"/>
          <w:szCs w:val="24"/>
          <w:lang w:eastAsia="zh-CN"/>
        </w:rPr>
        <w:t>地块</w:t>
      </w:r>
      <w:r>
        <w:rPr>
          <w:rFonts w:hint="eastAsia" w:hAnsi="宋体"/>
          <w:b/>
          <w:bCs/>
          <w:sz w:val="24"/>
          <w:szCs w:val="24"/>
        </w:rPr>
        <w:t>采样点信息</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300"/>
        <w:gridCol w:w="1141"/>
        <w:gridCol w:w="2149"/>
        <w:gridCol w:w="1710"/>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644" w:type="dxa"/>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1300" w:type="dxa"/>
            <w:noWrap/>
            <w:vAlign w:val="center"/>
          </w:tcPr>
          <w:p>
            <w:pPr>
              <w:jc w:val="center"/>
              <w:rPr>
                <w:rFonts w:hint="default" w:ascii="Times New Roman" w:hAnsi="Times New Roman" w:cs="Times New Roman"/>
              </w:rPr>
            </w:pPr>
            <w:r>
              <w:rPr>
                <w:rFonts w:hint="default" w:ascii="Times New Roman" w:hAnsi="Times New Roman" w:cs="Times New Roman"/>
              </w:rPr>
              <w:t>采样编号</w:t>
            </w:r>
          </w:p>
        </w:tc>
        <w:tc>
          <w:tcPr>
            <w:tcW w:w="1141" w:type="dxa"/>
            <w:noWrap/>
            <w:vAlign w:val="center"/>
          </w:tcPr>
          <w:p>
            <w:pPr>
              <w:jc w:val="center"/>
              <w:rPr>
                <w:rFonts w:hint="default" w:ascii="Times New Roman" w:hAnsi="Times New Roman" w:cs="Times New Roman"/>
              </w:rPr>
            </w:pPr>
            <w:r>
              <w:rPr>
                <w:rFonts w:hint="default" w:ascii="Times New Roman" w:hAnsi="Times New Roman" w:cs="Times New Roman"/>
              </w:rPr>
              <w:t>采样点</w:t>
            </w:r>
          </w:p>
        </w:tc>
        <w:tc>
          <w:tcPr>
            <w:tcW w:w="2149" w:type="dxa"/>
            <w:noWrap/>
            <w:vAlign w:val="center"/>
          </w:tcPr>
          <w:p>
            <w:pPr>
              <w:jc w:val="center"/>
              <w:rPr>
                <w:rFonts w:hint="default" w:ascii="Times New Roman" w:hAnsi="Times New Roman" w:cs="Times New Roman"/>
              </w:rPr>
            </w:pPr>
            <w:r>
              <w:rPr>
                <w:rFonts w:hint="default" w:ascii="Times New Roman" w:hAnsi="Times New Roman" w:cs="Times New Roman"/>
              </w:rPr>
              <w:t>坐标</w:t>
            </w:r>
          </w:p>
        </w:tc>
        <w:tc>
          <w:tcPr>
            <w:tcW w:w="1710" w:type="dxa"/>
            <w:noWrap/>
            <w:vAlign w:val="center"/>
          </w:tcPr>
          <w:p>
            <w:pPr>
              <w:jc w:val="center"/>
              <w:rPr>
                <w:rFonts w:hint="default" w:ascii="Times New Roman" w:hAnsi="Times New Roman" w:cs="Times New Roman"/>
              </w:rPr>
            </w:pPr>
            <w:r>
              <w:rPr>
                <w:rFonts w:hint="default" w:ascii="Times New Roman" w:hAnsi="Times New Roman" w:cs="Times New Roman"/>
              </w:rPr>
              <w:t>采样深度(m)</w:t>
            </w:r>
          </w:p>
        </w:tc>
        <w:tc>
          <w:tcPr>
            <w:tcW w:w="1578" w:type="dxa"/>
            <w:noWrap/>
            <w:vAlign w:val="center"/>
          </w:tcPr>
          <w:p>
            <w:pPr>
              <w:jc w:val="center"/>
              <w:rPr>
                <w:rFonts w:hint="default" w:ascii="Times New Roman" w:hAnsi="Times New Roman" w:cs="Times New Roman"/>
              </w:rPr>
            </w:pPr>
            <w:r>
              <w:rPr>
                <w:rFonts w:hint="default"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1</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T-0</w:t>
            </w:r>
            <w:r>
              <w:rPr>
                <w:rFonts w:hint="eastAsia" w:ascii="Times New Roman" w:hAnsi="Times New Roman" w:cs="Times New Roman" w:eastAsiaTheme="minorEastAsia"/>
                <w:szCs w:val="21"/>
                <w:lang w:val="en-US" w:eastAsia="zh-CN"/>
              </w:rPr>
              <w:t>1</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1</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113.88008773°</w:t>
            </w:r>
          </w:p>
          <w:p>
            <w:pPr>
              <w:jc w:val="center"/>
              <w:rPr>
                <w:rFonts w:hint="default"/>
                <w:lang w:val="en-US" w:eastAsia="zh-CN"/>
              </w:rPr>
            </w:pPr>
            <w:r>
              <w:rPr>
                <w:rFonts w:hint="eastAsia" w:ascii="Times New Roman" w:hAnsi="Times New Roman" w:cs="Times New Roman" w:eastAsiaTheme="minorEastAsia"/>
                <w:szCs w:val="21"/>
                <w:lang w:val="en-US" w:eastAsia="zh-CN"/>
              </w:rPr>
              <w:t>35.26541899°</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2</w:t>
            </w:r>
          </w:p>
        </w:tc>
        <w:tc>
          <w:tcPr>
            <w:tcW w:w="1300" w:type="dxa"/>
            <w:tcBorders>
              <w:top w:val="single" w:color="000000" w:sz="4" w:space="0"/>
            </w:tcBorders>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T-0</w:t>
            </w:r>
            <w:r>
              <w:rPr>
                <w:rFonts w:hint="eastAsia" w:ascii="Times New Roman" w:hAnsi="Times New Roman" w:cs="Times New Roman" w:eastAsiaTheme="minorEastAsia"/>
                <w:szCs w:val="21"/>
                <w:lang w:val="en-US" w:eastAsia="zh-CN"/>
              </w:rPr>
              <w:t>2</w:t>
            </w:r>
          </w:p>
        </w:tc>
        <w:tc>
          <w:tcPr>
            <w:tcW w:w="1141" w:type="dxa"/>
            <w:vMerge w:val="continue"/>
            <w:tcBorders>
              <w:top w:val="single" w:color="000000" w:sz="4" w:space="0"/>
            </w:tcBorders>
            <w:noWrap/>
            <w:vAlign w:val="center"/>
          </w:tcPr>
          <w:p>
            <w:pPr>
              <w:jc w:val="center"/>
              <w:rPr>
                <w:rFonts w:hint="default" w:ascii="Times New Roman" w:hAnsi="Times New Roman" w:cs="Times New Roman" w:eastAsiaTheme="minorEastAsia"/>
                <w:szCs w:val="21"/>
              </w:rPr>
            </w:pPr>
          </w:p>
        </w:tc>
        <w:tc>
          <w:tcPr>
            <w:tcW w:w="2149" w:type="dxa"/>
            <w:vMerge w:val="continue"/>
            <w:tcBorders>
              <w:top w:val="single" w:color="000000" w:sz="4" w:space="0"/>
            </w:tcBorders>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3</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T-0</w:t>
            </w:r>
            <w:r>
              <w:rPr>
                <w:rFonts w:hint="eastAsia" w:ascii="Times New Roman" w:hAnsi="Times New Roman" w:cs="Times New Roman" w:eastAsiaTheme="minorEastAsia"/>
                <w:szCs w:val="21"/>
                <w:lang w:val="en-US" w:eastAsia="zh-CN"/>
              </w:rPr>
              <w:t>3</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4</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T-0</w:t>
            </w:r>
            <w:r>
              <w:rPr>
                <w:rFonts w:hint="eastAsia" w:ascii="Times New Roman" w:hAnsi="Times New Roman" w:cs="Times New Roman" w:eastAsiaTheme="minorEastAsia"/>
                <w:szCs w:val="21"/>
                <w:lang w:val="en-US" w:eastAsia="zh-CN"/>
              </w:rPr>
              <w:t>4</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2</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113.88054907°</w:t>
            </w:r>
          </w:p>
          <w:p>
            <w:pPr>
              <w:jc w:val="center"/>
              <w:rPr>
                <w:rFonts w:hint="default"/>
                <w:lang w:val="en-US" w:eastAsia="zh-CN"/>
              </w:rPr>
            </w:pPr>
            <w:r>
              <w:rPr>
                <w:rFonts w:hint="eastAsia" w:ascii="Times New Roman" w:hAnsi="Times New Roman" w:cs="Times New Roman" w:eastAsiaTheme="minorEastAsia"/>
                <w:szCs w:val="21"/>
                <w:lang w:val="en-US" w:eastAsia="zh-CN"/>
              </w:rPr>
              <w:t>35.26544965°</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5</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T-0</w:t>
            </w:r>
            <w:r>
              <w:rPr>
                <w:rFonts w:hint="eastAsia" w:ascii="Times New Roman" w:hAnsi="Times New Roman" w:cs="Times New Roman" w:eastAsiaTheme="minorEastAsia"/>
                <w:szCs w:val="21"/>
                <w:lang w:val="en-US" w:eastAsia="zh-CN"/>
              </w:rPr>
              <w:t>5</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6</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T-0</w:t>
            </w:r>
            <w:r>
              <w:rPr>
                <w:rFonts w:hint="eastAsia" w:ascii="Times New Roman" w:hAnsi="Times New Roman" w:cs="Times New Roman" w:eastAsiaTheme="minorEastAsia"/>
                <w:szCs w:val="21"/>
                <w:lang w:val="en-US" w:eastAsia="zh-CN"/>
              </w:rPr>
              <w:t>6</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7</w:t>
            </w:r>
          </w:p>
        </w:tc>
        <w:tc>
          <w:tcPr>
            <w:tcW w:w="1300" w:type="dxa"/>
            <w:noWrap/>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w:t>
            </w:r>
            <w:r>
              <w:rPr>
                <w:rFonts w:hint="eastAsia" w:ascii="Times New Roman" w:hAnsi="Times New Roman" w:cs="Times New Roman" w:eastAsiaTheme="minorEastAsia"/>
                <w:szCs w:val="21"/>
                <w:lang w:val="en-US" w:eastAsia="zh-CN"/>
              </w:rPr>
              <w:t>07</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3</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113.88060272°</w:t>
            </w:r>
          </w:p>
          <w:p>
            <w:pPr>
              <w:jc w:val="center"/>
              <w:rPr>
                <w:rFonts w:hint="default"/>
                <w:lang w:val="en-US" w:eastAsia="zh-CN"/>
              </w:rPr>
            </w:pPr>
            <w:r>
              <w:rPr>
                <w:rFonts w:hint="eastAsia" w:ascii="Times New Roman" w:hAnsi="Times New Roman" w:cs="Times New Roman" w:eastAsiaTheme="minorEastAsia"/>
                <w:szCs w:val="21"/>
                <w:lang w:val="en-US" w:eastAsia="zh-CN"/>
              </w:rPr>
              <w:t>35.26502917°</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8</w:t>
            </w:r>
          </w:p>
        </w:tc>
        <w:tc>
          <w:tcPr>
            <w:tcW w:w="1300" w:type="dxa"/>
            <w:noWrap/>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w:t>
            </w:r>
            <w:r>
              <w:rPr>
                <w:rFonts w:hint="eastAsia" w:ascii="Times New Roman" w:hAnsi="Times New Roman" w:cs="Times New Roman" w:eastAsiaTheme="minorEastAsia"/>
                <w:szCs w:val="21"/>
                <w:lang w:val="en-US" w:eastAsia="zh-CN"/>
              </w:rPr>
              <w:t>08</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val="en-US" w:eastAsia="zh-CN"/>
              </w:rPr>
              <w:t>9</w:t>
            </w:r>
          </w:p>
        </w:tc>
        <w:tc>
          <w:tcPr>
            <w:tcW w:w="1300" w:type="dxa"/>
            <w:noWrap/>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w:t>
            </w:r>
            <w:r>
              <w:rPr>
                <w:rFonts w:hint="eastAsia" w:ascii="Times New Roman" w:hAnsi="Times New Roman" w:cs="Times New Roman" w:eastAsiaTheme="minorEastAsia"/>
                <w:szCs w:val="21"/>
                <w:lang w:val="en-US" w:eastAsia="zh-CN"/>
              </w:rPr>
              <w:t>09</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0</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0</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4</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113.88113379°</w:t>
            </w:r>
          </w:p>
          <w:p>
            <w:pPr>
              <w:jc w:val="center"/>
              <w:rPr>
                <w:rFonts w:hint="default"/>
                <w:lang w:val="en-US" w:eastAsia="zh-CN"/>
              </w:rPr>
            </w:pPr>
            <w:r>
              <w:rPr>
                <w:rFonts w:hint="eastAsia" w:ascii="Times New Roman" w:hAnsi="Times New Roman" w:cs="Times New Roman" w:eastAsiaTheme="minorEastAsia"/>
                <w:szCs w:val="21"/>
                <w:lang w:val="en-US" w:eastAsia="zh-CN"/>
              </w:rPr>
              <w:t>35.26530511°</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1</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1</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2</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2</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3</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3</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5</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113.88189018°</w:t>
            </w:r>
          </w:p>
          <w:p>
            <w:pPr>
              <w:jc w:val="center"/>
              <w:rPr>
                <w:rFonts w:hint="default"/>
                <w:lang w:val="en-US" w:eastAsia="zh-CN"/>
              </w:rPr>
            </w:pPr>
            <w:r>
              <w:rPr>
                <w:rFonts w:hint="eastAsia" w:ascii="Times New Roman" w:hAnsi="Times New Roman" w:cs="Times New Roman" w:eastAsiaTheme="minorEastAsia"/>
                <w:szCs w:val="21"/>
                <w:lang w:val="en-US" w:eastAsia="zh-CN"/>
              </w:rPr>
              <w:t>35.26546717°</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4</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4</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5</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5</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1</w:t>
            </w:r>
            <w:r>
              <w:rPr>
                <w:rFonts w:hint="eastAsia" w:ascii="Times New Roman" w:hAnsi="Times New Roman" w:cs="Times New Roman" w:eastAsiaTheme="minorEastAsia"/>
                <w:szCs w:val="21"/>
                <w:lang w:val="en-US" w:eastAsia="zh-CN"/>
              </w:rPr>
              <w:t>6</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T-1</w:t>
            </w:r>
            <w:r>
              <w:rPr>
                <w:rFonts w:hint="eastAsia" w:ascii="Times New Roman" w:hAnsi="Times New Roman" w:cs="Times New Roman" w:eastAsiaTheme="minorEastAsia"/>
                <w:szCs w:val="21"/>
                <w:lang w:val="en-US" w:eastAsia="zh-CN"/>
              </w:rPr>
              <w:t>6</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6</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113.88176680°</w:t>
            </w:r>
          </w:p>
          <w:p>
            <w:pPr>
              <w:jc w:val="center"/>
              <w:rPr>
                <w:rFonts w:hint="default"/>
                <w:lang w:val="en-US" w:eastAsia="zh-CN"/>
              </w:rPr>
            </w:pPr>
            <w:r>
              <w:rPr>
                <w:rFonts w:hint="eastAsia" w:ascii="Times New Roman" w:hAnsi="Times New Roman" w:cs="Times New Roman" w:eastAsiaTheme="minorEastAsia"/>
                <w:szCs w:val="21"/>
                <w:lang w:val="en-US" w:eastAsia="zh-CN"/>
              </w:rPr>
              <w:t>35.26506859°</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17</w:t>
            </w:r>
          </w:p>
        </w:tc>
        <w:tc>
          <w:tcPr>
            <w:tcW w:w="1300" w:type="dxa"/>
            <w:noWrap/>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w:t>
            </w:r>
            <w:r>
              <w:rPr>
                <w:rFonts w:hint="eastAsia" w:ascii="Times New Roman" w:hAnsi="Times New Roman" w:cs="Times New Roman" w:eastAsiaTheme="minorEastAsia"/>
                <w:szCs w:val="21"/>
                <w:lang w:val="en-US" w:eastAsia="zh-CN"/>
              </w:rPr>
              <w:t>17</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18</w:t>
            </w:r>
          </w:p>
        </w:tc>
        <w:tc>
          <w:tcPr>
            <w:tcW w:w="1300" w:type="dxa"/>
            <w:noWrap/>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w:t>
            </w:r>
            <w:r>
              <w:rPr>
                <w:rFonts w:hint="eastAsia" w:ascii="Times New Roman" w:hAnsi="Times New Roman" w:cs="Times New Roman" w:eastAsiaTheme="minorEastAsia"/>
                <w:szCs w:val="21"/>
                <w:lang w:val="en-US" w:eastAsia="zh-CN"/>
              </w:rPr>
              <w:t>18</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19</w:t>
            </w:r>
          </w:p>
        </w:tc>
        <w:tc>
          <w:tcPr>
            <w:tcW w:w="1300" w:type="dxa"/>
            <w:noWrap/>
            <w:vAlign w:val="center"/>
          </w:tcPr>
          <w:p>
            <w:pPr>
              <w:jc w:val="center"/>
              <w:rPr>
                <w:rFonts w:hint="default"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w:t>
            </w:r>
            <w:r>
              <w:rPr>
                <w:rFonts w:hint="eastAsia" w:ascii="Times New Roman" w:hAnsi="Times New Roman" w:cs="Times New Roman" w:eastAsiaTheme="minorEastAsia"/>
                <w:szCs w:val="21"/>
                <w:lang w:val="en-US" w:eastAsia="zh-CN"/>
              </w:rPr>
              <w:t>19</w:t>
            </w:r>
          </w:p>
        </w:tc>
        <w:tc>
          <w:tcPr>
            <w:tcW w:w="1141" w:type="dxa"/>
            <w:vMerge w:val="restart"/>
            <w:noWrap/>
            <w:vAlign w:val="center"/>
          </w:tcPr>
          <w:p>
            <w:pPr>
              <w:jc w:val="center"/>
              <w:rPr>
                <w:rFonts w:hint="default" w:ascii="Times New Roman" w:hAnsi="Times New Roman" w:cs="Times New Roman" w:eastAsiaTheme="minorEastAsia"/>
                <w:szCs w:val="21"/>
              </w:rPr>
            </w:pPr>
            <w:r>
              <w:rPr>
                <w:rFonts w:hint="eastAsia" w:ascii="Times New Roman" w:hAnsi="Times New Roman" w:cs="Times New Roman" w:eastAsiaTheme="minorEastAsia"/>
                <w:szCs w:val="21"/>
                <w:lang w:val="en-US" w:eastAsia="zh-CN"/>
              </w:rPr>
              <w:t>7</w:t>
            </w:r>
            <w:r>
              <w:rPr>
                <w:rFonts w:hint="default" w:ascii="Times New Roman" w:hAnsi="Times New Roman" w:cs="Times New Roman" w:eastAsiaTheme="minorEastAsia"/>
                <w:szCs w:val="21"/>
              </w:rPr>
              <w:t>#</w:t>
            </w:r>
          </w:p>
        </w:tc>
        <w:tc>
          <w:tcPr>
            <w:tcW w:w="2149" w:type="dxa"/>
            <w:vMerge w:val="restart"/>
            <w:noWrap/>
            <w:vAlign w:val="center"/>
          </w:tcPr>
          <w:p>
            <w:pPr>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eastAsiaTheme="minorEastAsia"/>
                <w:szCs w:val="21"/>
                <w:lang w:val="en-US" w:eastAsia="zh-CN"/>
              </w:rPr>
              <w:t>113.88233542°</w:t>
            </w:r>
          </w:p>
          <w:p>
            <w:pPr>
              <w:jc w:val="center"/>
              <w:rPr>
                <w:rFonts w:hint="default"/>
                <w:lang w:val="en-US" w:eastAsia="zh-CN"/>
              </w:rPr>
            </w:pPr>
            <w:r>
              <w:rPr>
                <w:rFonts w:hint="eastAsia" w:ascii="Times New Roman" w:hAnsi="Times New Roman" w:cs="Times New Roman" w:eastAsiaTheme="minorEastAsia"/>
                <w:szCs w:val="21"/>
                <w:lang w:val="en-US" w:eastAsia="zh-CN"/>
              </w:rPr>
              <w:t>35.26537519°</w:t>
            </w: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0-0.5m</w:t>
            </w:r>
          </w:p>
        </w:tc>
        <w:tc>
          <w:tcPr>
            <w:tcW w:w="1578" w:type="dxa"/>
            <w:vMerge w:val="restart"/>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土样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2</w:t>
            </w:r>
            <w:r>
              <w:rPr>
                <w:rFonts w:hint="eastAsia" w:ascii="Times New Roman" w:hAnsi="Times New Roman" w:cs="Times New Roman" w:eastAsiaTheme="minorEastAsia"/>
                <w:szCs w:val="21"/>
                <w:lang w:val="en-US" w:eastAsia="zh-CN"/>
              </w:rPr>
              <w:t>0</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T-2</w:t>
            </w:r>
            <w:r>
              <w:rPr>
                <w:rFonts w:hint="eastAsia" w:ascii="Times New Roman" w:hAnsi="Times New Roman" w:cs="Times New Roman" w:eastAsiaTheme="minorEastAsia"/>
                <w:szCs w:val="21"/>
                <w:lang w:val="en-US" w:eastAsia="zh-CN"/>
              </w:rPr>
              <w:t>0</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1-2m</w:t>
            </w:r>
          </w:p>
        </w:tc>
        <w:tc>
          <w:tcPr>
            <w:tcW w:w="1578" w:type="dxa"/>
            <w:vMerge w:val="continue"/>
            <w:noWrap/>
            <w:vAlign w:val="center"/>
          </w:tcPr>
          <w:p>
            <w:pPr>
              <w:jc w:val="center"/>
              <w:rPr>
                <w:rFonts w:hint="default" w:ascii="Times New Roman" w:hAnsi="Times New Roman" w:cs="Times New Roman"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44"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2</w:t>
            </w:r>
            <w:r>
              <w:rPr>
                <w:rFonts w:hint="eastAsia" w:ascii="Times New Roman" w:hAnsi="Times New Roman" w:cs="Times New Roman" w:eastAsiaTheme="minorEastAsia"/>
                <w:szCs w:val="21"/>
                <w:lang w:val="en-US" w:eastAsia="zh-CN"/>
              </w:rPr>
              <w:t>1</w:t>
            </w:r>
          </w:p>
        </w:tc>
        <w:tc>
          <w:tcPr>
            <w:tcW w:w="1300" w:type="dxa"/>
            <w:noWrap/>
            <w:vAlign w:val="center"/>
          </w:tcPr>
          <w:p>
            <w:pPr>
              <w:jc w:val="center"/>
              <w:rPr>
                <w:rFonts w:hint="eastAsia" w:ascii="Times New Roman" w:hAnsi="Times New Roman" w:cs="Times New Roman" w:eastAsiaTheme="minorEastAsia"/>
                <w:szCs w:val="21"/>
                <w:lang w:val="en-US" w:eastAsia="zh-CN"/>
              </w:rPr>
            </w:pPr>
            <w:r>
              <w:rPr>
                <w:rFonts w:hint="default" w:ascii="Times New Roman" w:hAnsi="Times New Roman" w:cs="Times New Roman" w:eastAsiaTheme="minorEastAsia"/>
                <w:szCs w:val="21"/>
              </w:rPr>
              <w:t>T-2</w:t>
            </w:r>
            <w:r>
              <w:rPr>
                <w:rFonts w:hint="eastAsia" w:ascii="Times New Roman" w:hAnsi="Times New Roman" w:cs="Times New Roman" w:eastAsiaTheme="minorEastAsia"/>
                <w:szCs w:val="21"/>
                <w:lang w:val="en-US" w:eastAsia="zh-CN"/>
              </w:rPr>
              <w:t>1</w:t>
            </w:r>
          </w:p>
        </w:tc>
        <w:tc>
          <w:tcPr>
            <w:tcW w:w="1141" w:type="dxa"/>
            <w:vMerge w:val="continue"/>
            <w:noWrap/>
            <w:vAlign w:val="center"/>
          </w:tcPr>
          <w:p>
            <w:pPr>
              <w:jc w:val="center"/>
              <w:rPr>
                <w:rFonts w:hint="default" w:ascii="Times New Roman" w:hAnsi="Times New Roman" w:cs="Times New Roman" w:eastAsiaTheme="minorEastAsia"/>
                <w:szCs w:val="21"/>
              </w:rPr>
            </w:pPr>
          </w:p>
        </w:tc>
        <w:tc>
          <w:tcPr>
            <w:tcW w:w="2149" w:type="dxa"/>
            <w:vMerge w:val="continue"/>
            <w:noWrap/>
            <w:vAlign w:val="center"/>
          </w:tcPr>
          <w:p>
            <w:pPr>
              <w:jc w:val="center"/>
              <w:rPr>
                <w:rFonts w:hint="default" w:ascii="Times New Roman" w:hAnsi="Times New Roman" w:cs="Times New Roman" w:eastAsiaTheme="minorEastAsia"/>
                <w:szCs w:val="21"/>
              </w:rPr>
            </w:pPr>
          </w:p>
        </w:tc>
        <w:tc>
          <w:tcPr>
            <w:tcW w:w="1710" w:type="dxa"/>
            <w:noWrap/>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2-3m</w:t>
            </w:r>
          </w:p>
        </w:tc>
        <w:tc>
          <w:tcPr>
            <w:tcW w:w="1578" w:type="dxa"/>
            <w:vMerge w:val="continue"/>
            <w:noWrap/>
            <w:vAlign w:val="center"/>
          </w:tcPr>
          <w:p>
            <w:pPr>
              <w:jc w:val="center"/>
              <w:rPr>
                <w:rFonts w:hint="default" w:ascii="Times New Roman" w:hAnsi="Times New Roman" w:cs="Times New Roman" w:eastAsiaTheme="minorEastAsia"/>
                <w:szCs w:val="21"/>
              </w:rPr>
            </w:pPr>
          </w:p>
        </w:tc>
      </w:tr>
    </w:tbl>
    <w:p>
      <w:pPr>
        <w:spacing w:line="360" w:lineRule="auto"/>
        <w:ind w:firstLine="480" w:firstLineChars="200"/>
        <w:rPr>
          <w:rFonts w:hint="default" w:ascii="Times New Roman" w:hAnsi="Times New Roman" w:eastAsia="Times New Roman" w:cs="Times New Roman"/>
          <w:b/>
          <w:sz w:val="24"/>
          <w:szCs w:val="24"/>
        </w:rPr>
      </w:pPr>
      <w:bookmarkStart w:id="373" w:name="_Toc25673273"/>
      <w:r>
        <w:rPr>
          <w:rFonts w:hint="default" w:ascii="Times New Roman" w:hAnsi="Times New Roman" w:eastAsia="Times New Roman" w:cs="Times New Roman"/>
          <w:b/>
          <w:sz w:val="24"/>
          <w:szCs w:val="24"/>
        </w:rPr>
        <w:t>4.1.4地下水样品点的布设</w:t>
      </w:r>
      <w:bookmarkEnd w:id="373"/>
    </w:p>
    <w:p>
      <w:pPr>
        <w:pStyle w:val="13"/>
        <w:spacing w:line="360" w:lineRule="auto"/>
        <w:ind w:firstLine="480" w:firstLineChars="200"/>
        <w:rPr>
          <w:rFonts w:hint="eastAsia" w:ascii="Calibri" w:hAnsi="宋体" w:eastAsia="宋体" w:cs="Times New Roman"/>
          <w:color w:val="auto"/>
          <w:kern w:val="2"/>
          <w:sz w:val="24"/>
          <w:szCs w:val="24"/>
          <w:lang w:val="en-US" w:eastAsia="zh-CN" w:bidi="ar-SA"/>
        </w:rPr>
      </w:pPr>
      <w:r>
        <w:rPr>
          <w:rFonts w:hint="eastAsia" w:ascii="Calibri" w:hAnsi="宋体" w:eastAsia="宋体" w:cs="Times New Roman"/>
          <w:color w:val="auto"/>
          <w:kern w:val="2"/>
          <w:sz w:val="24"/>
          <w:szCs w:val="24"/>
          <w:lang w:val="en-US" w:eastAsia="zh-CN" w:bidi="ar-SA"/>
        </w:rPr>
        <w:t>根据《建设用地土壤污染状况调查 技术导则（( HJ 25.1—2019代替HJ 25.1-2014）》要求，考虑地下水的流向、水力坡降、含水层渗透性、埋深和厚度等水文地质条件及污染源和污染物迁移转化等因素，选取以下三个点位打井采样</w:t>
      </w:r>
      <w:r>
        <w:rPr>
          <w:rFonts w:hint="eastAsia" w:ascii="Calibri" w:hAnsi="宋体" w:cs="Times New Roman"/>
          <w:color w:val="auto"/>
          <w:kern w:val="2"/>
          <w:sz w:val="24"/>
          <w:szCs w:val="24"/>
          <w:lang w:val="en-US" w:eastAsia="zh-CN" w:bidi="ar-SA"/>
        </w:rPr>
        <w:t>，见表6</w:t>
      </w:r>
      <w:r>
        <w:rPr>
          <w:rFonts w:hint="eastAsia" w:ascii="Calibri" w:hAnsi="宋体" w:eastAsia="宋体" w:cs="Times New Roman"/>
          <w:color w:val="auto"/>
          <w:kern w:val="2"/>
          <w:sz w:val="24"/>
          <w:szCs w:val="24"/>
          <w:lang w:val="en-US" w:eastAsia="zh-CN" w:bidi="ar-SA"/>
        </w:rPr>
        <w:t>。</w:t>
      </w:r>
      <w:r>
        <w:rPr>
          <w:rFonts w:hint="eastAsia" w:ascii="Calibri" w:hAnsi="宋体" w:cs="Times New Roman"/>
          <w:color w:val="auto"/>
          <w:kern w:val="2"/>
          <w:sz w:val="24"/>
          <w:szCs w:val="24"/>
          <w:lang w:val="en-US" w:eastAsia="zh-CN" w:bidi="ar-SA"/>
        </w:rPr>
        <w:t>根据历史水文资料，新乡市地下水流向为西北向东南。</w:t>
      </w:r>
    </w:p>
    <w:p>
      <w:pPr>
        <w:pStyle w:val="13"/>
        <w:spacing w:line="360" w:lineRule="auto"/>
        <w:jc w:val="center"/>
        <w:rPr>
          <w:rFonts w:hint="default"/>
          <w:b/>
          <w:bCs/>
        </w:rPr>
      </w:pPr>
      <w:r>
        <w:rPr>
          <w:rFonts w:hint="default"/>
          <w:b/>
          <w:bCs/>
        </w:rPr>
        <w:t>表</w:t>
      </w:r>
      <w:r>
        <w:rPr>
          <w:rFonts w:hint="default"/>
          <w:b/>
          <w:bCs/>
          <w:lang w:val="en-US" w:eastAsia="zh-CN"/>
        </w:rPr>
        <w:t>6</w:t>
      </w:r>
      <w:r>
        <w:rPr>
          <w:rFonts w:hint="default"/>
          <w:b/>
          <w:bCs/>
        </w:rPr>
        <w:t xml:space="preserve">  水样采样点坐标</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140"/>
        <w:gridCol w:w="1755"/>
        <w:gridCol w:w="3510"/>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noWrap/>
            <w:vAlign w:val="center"/>
          </w:tcPr>
          <w:p>
            <w:pPr>
              <w:pStyle w:val="13"/>
              <w:rPr>
                <w:rFonts w:hint="default"/>
              </w:rPr>
            </w:pPr>
            <w:r>
              <w:rPr>
                <w:rFonts w:hint="default"/>
              </w:rPr>
              <w:t>序号</w:t>
            </w:r>
          </w:p>
        </w:tc>
        <w:tc>
          <w:tcPr>
            <w:tcW w:w="1140" w:type="dxa"/>
            <w:noWrap/>
            <w:vAlign w:val="center"/>
          </w:tcPr>
          <w:p>
            <w:pPr>
              <w:pStyle w:val="13"/>
              <w:rPr>
                <w:rFonts w:hint="default"/>
              </w:rPr>
            </w:pPr>
            <w:r>
              <w:rPr>
                <w:rFonts w:hint="default"/>
              </w:rPr>
              <w:t>编号</w:t>
            </w:r>
          </w:p>
        </w:tc>
        <w:tc>
          <w:tcPr>
            <w:tcW w:w="1755" w:type="dxa"/>
            <w:noWrap/>
            <w:vAlign w:val="center"/>
          </w:tcPr>
          <w:p>
            <w:pPr>
              <w:pStyle w:val="13"/>
              <w:rPr>
                <w:rFonts w:hint="default"/>
                <w:lang w:eastAsia="zh-CN"/>
              </w:rPr>
            </w:pPr>
            <w:r>
              <w:rPr>
                <w:rFonts w:hint="default"/>
                <w:lang w:eastAsia="zh-CN"/>
              </w:rPr>
              <w:t>深度</w:t>
            </w:r>
          </w:p>
        </w:tc>
        <w:tc>
          <w:tcPr>
            <w:tcW w:w="3510" w:type="dxa"/>
            <w:noWrap/>
            <w:vAlign w:val="center"/>
          </w:tcPr>
          <w:p>
            <w:pPr>
              <w:pStyle w:val="13"/>
              <w:rPr>
                <w:rFonts w:hint="default"/>
              </w:rPr>
            </w:pPr>
            <w:r>
              <w:rPr>
                <w:rFonts w:hint="default"/>
              </w:rPr>
              <w:t>坐标</w:t>
            </w:r>
          </w:p>
        </w:tc>
        <w:tc>
          <w:tcPr>
            <w:tcW w:w="1296" w:type="dxa"/>
            <w:noWrap/>
            <w:vAlign w:val="center"/>
          </w:tcPr>
          <w:p>
            <w:pPr>
              <w:pStyle w:val="13"/>
              <w:rPr>
                <w:rFonts w:hint="default"/>
              </w:rPr>
            </w:pPr>
            <w:r>
              <w:rPr>
                <w:rFonts w:hint="default"/>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noWrap/>
            <w:vAlign w:val="center"/>
          </w:tcPr>
          <w:p>
            <w:pPr>
              <w:pStyle w:val="13"/>
              <w:rPr>
                <w:rFonts w:hint="default"/>
              </w:rPr>
            </w:pPr>
            <w:r>
              <w:rPr>
                <w:rFonts w:hint="default"/>
              </w:rPr>
              <w:t>1</w:t>
            </w:r>
          </w:p>
        </w:tc>
        <w:tc>
          <w:tcPr>
            <w:tcW w:w="1140" w:type="dxa"/>
            <w:noWrap/>
            <w:vAlign w:val="center"/>
          </w:tcPr>
          <w:p>
            <w:pPr>
              <w:pStyle w:val="13"/>
              <w:rPr>
                <w:rFonts w:hint="default"/>
              </w:rPr>
            </w:pPr>
            <w:r>
              <w:rPr>
                <w:rFonts w:hint="default"/>
              </w:rPr>
              <w:t>W-01</w:t>
            </w:r>
          </w:p>
        </w:tc>
        <w:tc>
          <w:tcPr>
            <w:tcW w:w="1755" w:type="dxa"/>
            <w:noWrap/>
            <w:vAlign w:val="center"/>
          </w:tcPr>
          <w:p>
            <w:pPr>
              <w:pStyle w:val="13"/>
              <w:rPr>
                <w:rFonts w:hint="default"/>
                <w:lang w:val="en-US" w:eastAsia="zh-CN"/>
              </w:rPr>
            </w:pPr>
            <w:r>
              <w:rPr>
                <w:rFonts w:hint="eastAsia"/>
                <w:lang w:val="en-US" w:eastAsia="zh-CN"/>
              </w:rPr>
              <w:t>10.2</w:t>
            </w:r>
            <w:r>
              <w:rPr>
                <w:rFonts w:hint="default"/>
                <w:lang w:val="en-US" w:eastAsia="zh-CN"/>
              </w:rPr>
              <w:t>m</w:t>
            </w:r>
          </w:p>
        </w:tc>
        <w:tc>
          <w:tcPr>
            <w:tcW w:w="3510" w:type="dxa"/>
            <w:noWrap/>
            <w:vAlign w:val="center"/>
          </w:tcPr>
          <w:p>
            <w:pPr>
              <w:pStyle w:val="13"/>
              <w:rPr>
                <w:rFonts w:hint="default"/>
                <w:lang w:val="en-US" w:eastAsia="zh-CN"/>
              </w:rPr>
            </w:pPr>
            <w:r>
              <w:rPr>
                <w:rFonts w:hint="default"/>
                <w:lang w:val="en-US" w:eastAsia="zh-CN"/>
              </w:rPr>
              <w:t>113.88018966°，35.26536205°</w:t>
            </w:r>
          </w:p>
        </w:tc>
        <w:tc>
          <w:tcPr>
            <w:tcW w:w="1296" w:type="dxa"/>
            <w:noWrap/>
            <w:vAlign w:val="center"/>
          </w:tcPr>
          <w:p>
            <w:pPr>
              <w:pStyle w:val="13"/>
              <w:rPr>
                <w:rFonts w:hint="default"/>
              </w:rPr>
            </w:pPr>
            <w:r>
              <w:rPr>
                <w:rFonts w:hint="default"/>
              </w:rPr>
              <w:t>水样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noWrap/>
            <w:vAlign w:val="center"/>
          </w:tcPr>
          <w:p>
            <w:pPr>
              <w:pStyle w:val="13"/>
              <w:rPr>
                <w:rFonts w:hint="default"/>
              </w:rPr>
            </w:pPr>
            <w:r>
              <w:rPr>
                <w:rFonts w:hint="default"/>
              </w:rPr>
              <w:t>2</w:t>
            </w:r>
          </w:p>
        </w:tc>
        <w:tc>
          <w:tcPr>
            <w:tcW w:w="1140" w:type="dxa"/>
            <w:noWrap/>
            <w:vAlign w:val="center"/>
          </w:tcPr>
          <w:p>
            <w:pPr>
              <w:pStyle w:val="13"/>
              <w:rPr>
                <w:rFonts w:hint="default"/>
              </w:rPr>
            </w:pPr>
            <w:r>
              <w:rPr>
                <w:rFonts w:hint="default"/>
              </w:rPr>
              <w:t>W-02</w:t>
            </w:r>
          </w:p>
        </w:tc>
        <w:tc>
          <w:tcPr>
            <w:tcW w:w="1755" w:type="dxa"/>
            <w:noWrap/>
            <w:vAlign w:val="center"/>
          </w:tcPr>
          <w:p>
            <w:pPr>
              <w:pStyle w:val="13"/>
              <w:rPr>
                <w:rFonts w:hint="default"/>
                <w:lang w:val="en-US" w:eastAsia="zh-CN"/>
              </w:rPr>
            </w:pPr>
            <w:r>
              <w:rPr>
                <w:rFonts w:hint="eastAsia"/>
                <w:lang w:val="en-US" w:eastAsia="zh-CN"/>
              </w:rPr>
              <w:t>10.3</w:t>
            </w:r>
            <w:r>
              <w:rPr>
                <w:rFonts w:hint="default"/>
                <w:lang w:val="en-US" w:eastAsia="zh-CN"/>
              </w:rPr>
              <w:t>m</w:t>
            </w:r>
          </w:p>
        </w:tc>
        <w:tc>
          <w:tcPr>
            <w:tcW w:w="3510" w:type="dxa"/>
            <w:noWrap/>
            <w:vAlign w:val="center"/>
          </w:tcPr>
          <w:p>
            <w:pPr>
              <w:pStyle w:val="13"/>
              <w:rPr>
                <w:rFonts w:hint="default"/>
                <w:lang w:val="en-US" w:eastAsia="zh-CN"/>
              </w:rPr>
            </w:pPr>
            <w:r>
              <w:rPr>
                <w:rFonts w:hint="default"/>
                <w:lang w:val="en-US" w:eastAsia="zh-CN"/>
              </w:rPr>
              <w:t>113.88155222°，35.26512115°</w:t>
            </w:r>
          </w:p>
        </w:tc>
        <w:tc>
          <w:tcPr>
            <w:tcW w:w="1296" w:type="dxa"/>
            <w:noWrap/>
            <w:vAlign w:val="center"/>
          </w:tcPr>
          <w:p>
            <w:pPr>
              <w:pStyle w:val="13"/>
              <w:rPr>
                <w:rFonts w:hint="default"/>
              </w:rPr>
            </w:pPr>
            <w:r>
              <w:rPr>
                <w:rFonts w:hint="default"/>
              </w:rPr>
              <w:t>水样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noWrap/>
            <w:vAlign w:val="center"/>
          </w:tcPr>
          <w:p>
            <w:pPr>
              <w:pStyle w:val="13"/>
              <w:rPr>
                <w:rFonts w:hint="default"/>
              </w:rPr>
            </w:pPr>
            <w:r>
              <w:rPr>
                <w:rFonts w:hint="default"/>
              </w:rPr>
              <w:t>3</w:t>
            </w:r>
          </w:p>
        </w:tc>
        <w:tc>
          <w:tcPr>
            <w:tcW w:w="1140" w:type="dxa"/>
            <w:noWrap/>
            <w:vAlign w:val="center"/>
          </w:tcPr>
          <w:p>
            <w:pPr>
              <w:pStyle w:val="13"/>
              <w:rPr>
                <w:rFonts w:hint="default"/>
              </w:rPr>
            </w:pPr>
            <w:r>
              <w:rPr>
                <w:rFonts w:hint="default"/>
              </w:rPr>
              <w:t>W-03</w:t>
            </w:r>
          </w:p>
        </w:tc>
        <w:tc>
          <w:tcPr>
            <w:tcW w:w="1755" w:type="dxa"/>
            <w:noWrap/>
            <w:vAlign w:val="center"/>
          </w:tcPr>
          <w:p>
            <w:pPr>
              <w:pStyle w:val="13"/>
              <w:rPr>
                <w:rFonts w:hint="default"/>
                <w:lang w:val="en-US" w:eastAsia="zh-CN"/>
              </w:rPr>
            </w:pPr>
            <w:r>
              <w:rPr>
                <w:rFonts w:hint="eastAsia"/>
                <w:lang w:val="en-US" w:eastAsia="zh-CN"/>
              </w:rPr>
              <w:t>10.2</w:t>
            </w:r>
            <w:r>
              <w:rPr>
                <w:rFonts w:hint="default"/>
                <w:lang w:val="en-US" w:eastAsia="zh-CN"/>
              </w:rPr>
              <w:t>m</w:t>
            </w:r>
          </w:p>
        </w:tc>
        <w:tc>
          <w:tcPr>
            <w:tcW w:w="3510" w:type="dxa"/>
            <w:noWrap/>
            <w:vAlign w:val="center"/>
          </w:tcPr>
          <w:p>
            <w:pPr>
              <w:pStyle w:val="13"/>
              <w:rPr>
                <w:rFonts w:hint="default"/>
                <w:lang w:val="en-US" w:eastAsia="zh-CN"/>
              </w:rPr>
            </w:pPr>
            <w:r>
              <w:rPr>
                <w:rFonts w:hint="default"/>
                <w:lang w:val="en-US" w:eastAsia="zh-CN"/>
              </w:rPr>
              <w:t>113.88211548°，35.26527445°</w:t>
            </w:r>
          </w:p>
        </w:tc>
        <w:tc>
          <w:tcPr>
            <w:tcW w:w="1296" w:type="dxa"/>
            <w:noWrap/>
            <w:vAlign w:val="center"/>
          </w:tcPr>
          <w:p>
            <w:pPr>
              <w:pStyle w:val="13"/>
              <w:rPr>
                <w:rFonts w:hint="default"/>
              </w:rPr>
            </w:pPr>
            <w:r>
              <w:rPr>
                <w:rFonts w:hint="default"/>
              </w:rPr>
              <w:t>水样</w:t>
            </w:r>
          </w:p>
        </w:tc>
      </w:tr>
    </w:tbl>
    <w:p>
      <w:pPr>
        <w:pStyle w:val="13"/>
        <w:rPr>
          <w:rFonts w:hint="default"/>
        </w:rPr>
      </w:pPr>
    </w:p>
    <w:p>
      <w:pPr>
        <w:pStyle w:val="4"/>
        <w:spacing w:line="240" w:lineRule="auto"/>
        <w:ind w:left="0" w:leftChars="0" w:firstLine="0" w:firstLineChars="0"/>
        <w:outlineLvl w:val="9"/>
        <w:rPr>
          <w:rFonts w:hint="eastAsia" w:ascii="Times New Roman" w:hAnsi="Times New Roman" w:eastAsia="宋体" w:cs="Times New Roman"/>
          <w:lang w:eastAsia="zh-CN"/>
        </w:rPr>
      </w:pPr>
      <w:bookmarkStart w:id="374" w:name="_Toc3740"/>
      <w:r>
        <w:rPr>
          <w:rFonts w:hint="eastAsia" w:ascii="Times New Roman" w:hAnsi="Times New Roman" w:eastAsia="宋体" w:cs="Times New Roman"/>
          <w:lang w:eastAsia="zh-CN"/>
        </w:rPr>
        <w:drawing>
          <wp:inline distT="0" distB="0" distL="114300" distR="114300">
            <wp:extent cx="5267325" cy="2933700"/>
            <wp:effectExtent l="0" t="0" r="9525" b="0"/>
            <wp:docPr id="15" name="图片 15" descr="微信截图_2020112810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截图_20201128101006"/>
                    <pic:cNvPicPr>
                      <a:picLocks noChangeAspect="1"/>
                    </pic:cNvPicPr>
                  </pic:nvPicPr>
                  <pic:blipFill>
                    <a:blip r:embed="rId19"/>
                    <a:stretch>
                      <a:fillRect/>
                    </a:stretch>
                  </pic:blipFill>
                  <pic:spPr>
                    <a:xfrm>
                      <a:off x="0" y="0"/>
                      <a:ext cx="5267325" cy="2933700"/>
                    </a:xfrm>
                    <a:prstGeom prst="rect">
                      <a:avLst/>
                    </a:prstGeom>
                  </pic:spPr>
                </pic:pic>
              </a:graphicData>
            </a:graphic>
          </wp:inline>
        </w:drawing>
      </w:r>
      <w:bookmarkEnd w:id="374"/>
    </w:p>
    <w:p>
      <w:pPr>
        <w:jc w:val="center"/>
        <w:rPr>
          <w:rFonts w:hint="default" w:ascii="Times New Roman" w:hAnsi="Times New Roman" w:eastAsia="宋体" w:cs="Times New Roman"/>
          <w:b/>
          <w:bCs/>
          <w:sz w:val="24"/>
          <w:szCs w:val="24"/>
          <w:lang w:eastAsia="zh-CN"/>
        </w:rPr>
      </w:pPr>
      <w:r>
        <w:rPr>
          <w:rFonts w:hint="default" w:ascii="Times New Roman" w:hAnsi="Times New Roman" w:cs="Times New Roman"/>
          <w:b/>
          <w:bCs/>
          <w:sz w:val="24"/>
          <w:szCs w:val="24"/>
        </w:rPr>
        <w:t>图1</w:t>
      </w:r>
      <w:r>
        <w:rPr>
          <w:rFonts w:hint="default" w:ascii="Times New Roman" w:hAnsi="Times New Roman" w:cs="Times New Roman"/>
          <w:b/>
          <w:bCs/>
          <w:sz w:val="24"/>
          <w:szCs w:val="24"/>
          <w:lang w:val="en-US" w:eastAsia="zh-CN"/>
        </w:rPr>
        <w:t xml:space="preserve">4  </w:t>
      </w:r>
      <w:r>
        <w:rPr>
          <w:rFonts w:hint="default" w:ascii="Times New Roman" w:hAnsi="Times New Roman" w:cs="Times New Roman"/>
          <w:b/>
          <w:bCs/>
          <w:sz w:val="24"/>
          <w:szCs w:val="24"/>
        </w:rPr>
        <w:t>浅层地下水采样布点图</w:t>
      </w:r>
      <w:r>
        <w:rPr>
          <w:rFonts w:hint="default" w:ascii="Times New Roman" w:hAnsi="Times New Roman" w:cs="Times New Roman"/>
          <w:b/>
          <w:bCs/>
          <w:sz w:val="24"/>
          <w:szCs w:val="24"/>
          <w:lang w:eastAsia="zh-CN"/>
        </w:rPr>
        <w:t>（</w:t>
      </w:r>
      <w:r>
        <w:rPr>
          <w:rFonts w:hint="default" w:ascii="Times New Roman" w:hAnsi="Times New Roman" w:cs="Times New Roman"/>
          <w:b/>
          <w:bCs/>
          <w:sz w:val="24"/>
          <w:szCs w:val="24"/>
          <w:lang w:val="en-US" w:eastAsia="zh-CN"/>
        </w:rPr>
        <w:t>星标为地下水采样点</w:t>
      </w:r>
      <w:r>
        <w:rPr>
          <w:rFonts w:hint="default" w:ascii="Times New Roman" w:hAnsi="Times New Roman" w:cs="Times New Roman"/>
          <w:b/>
          <w:bCs/>
          <w:sz w:val="24"/>
          <w:szCs w:val="24"/>
          <w:lang w:eastAsia="zh-CN"/>
        </w:rPr>
        <w:t>）</w:t>
      </w:r>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375" w:name="_Toc27577075"/>
      <w:bookmarkStart w:id="376" w:name="_Toc23479"/>
      <w:bookmarkStart w:id="377" w:name="_Toc10395"/>
      <w:bookmarkStart w:id="378" w:name="_Toc3662"/>
      <w:bookmarkStart w:id="379" w:name="_Toc14362182"/>
      <w:bookmarkStart w:id="380" w:name="_Toc27078370"/>
      <w:bookmarkStart w:id="381" w:name="_Toc9321"/>
      <w:bookmarkStart w:id="382" w:name="_Toc2006"/>
      <w:bookmarkStart w:id="383" w:name="_Toc22826"/>
      <w:bookmarkStart w:id="384" w:name="_Toc15799"/>
      <w:bookmarkStart w:id="385" w:name="_Toc25507"/>
      <w:r>
        <w:rPr>
          <w:rFonts w:hint="default" w:ascii="Times New Roman" w:hAnsi="Times New Roman" w:cs="Times New Roman"/>
          <w:b/>
          <w:kern w:val="0"/>
          <w:sz w:val="28"/>
          <w:szCs w:val="26"/>
        </w:rPr>
        <w:t>4.2现场采样</w:t>
      </w:r>
      <w:bookmarkEnd w:id="375"/>
      <w:bookmarkEnd w:id="376"/>
      <w:bookmarkEnd w:id="377"/>
      <w:bookmarkEnd w:id="378"/>
      <w:bookmarkEnd w:id="379"/>
      <w:bookmarkEnd w:id="380"/>
      <w:bookmarkEnd w:id="381"/>
      <w:bookmarkEnd w:id="382"/>
      <w:bookmarkEnd w:id="383"/>
      <w:bookmarkEnd w:id="384"/>
      <w:bookmarkEnd w:id="385"/>
    </w:p>
    <w:p>
      <w:pPr>
        <w:spacing w:line="360" w:lineRule="auto"/>
        <w:ind w:firstLine="480" w:firstLineChars="200"/>
        <w:rPr>
          <w:rFonts w:hint="default" w:ascii="Times New Roman" w:hAnsi="Times New Roman" w:eastAsia="Times New Roman" w:cs="Times New Roman"/>
          <w:b/>
          <w:sz w:val="24"/>
          <w:szCs w:val="24"/>
        </w:rPr>
      </w:pPr>
      <w:r>
        <w:rPr>
          <w:rFonts w:hint="default" w:ascii="Times New Roman" w:hAnsi="Times New Roman" w:eastAsia="Times New Roman" w:cs="Times New Roman"/>
          <w:b/>
          <w:sz w:val="24"/>
          <w:szCs w:val="24"/>
        </w:rPr>
        <w:t>4.2.1采样准备</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(1)根据土壤样品采集需要,准备土壤有机物采样设备、土壤重金属釆样设备、棕色玻璃瓶、自封袋、一次性橡胶手套、GPS、标识牌、记号笔等。</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(2)根据地下水样品采集需要,准备气囊泵、棕色玻璃瓶、聚乙烯塑料瓶、无菌袋、吹扫瓶、一次性橡胶手套、GPS等。</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(3)根据样品保存需要,准备冰柜、样品箱和蓝冰等样品保存工具,检查设备保温效果、保护剂添加等情况。</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(4)准备采样记录单、影像记录设备、现场通讯工具等其他采样辅助物品</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(5)采样和现场检测时明确采样和现场检测目的和方法,严格遵守操作规程。</w:t>
      </w:r>
    </w:p>
    <w:p>
      <w:pPr>
        <w:spacing w:line="360" w:lineRule="auto"/>
        <w:ind w:firstLine="480" w:firstLineChars="200"/>
        <w:rPr>
          <w:rFonts w:hint="default" w:ascii="Times New Roman" w:hAnsi="Times New Roman" w:eastAsia="Times New Roman" w:cs="Times New Roman"/>
          <w:b/>
          <w:sz w:val="24"/>
          <w:szCs w:val="24"/>
        </w:rPr>
      </w:pPr>
      <w:r>
        <w:rPr>
          <w:rFonts w:hint="default" w:ascii="Times New Roman" w:hAnsi="Times New Roman" w:eastAsia="Times New Roman" w:cs="Times New Roman"/>
          <w:b/>
          <w:sz w:val="24"/>
          <w:szCs w:val="24"/>
        </w:rPr>
        <w:t>4.2.2现场人员要求</w:t>
      </w:r>
    </w:p>
    <w:p>
      <w:pPr>
        <w:pStyle w:val="2"/>
        <w:spacing w:line="360" w:lineRule="auto"/>
        <w:ind w:left="0" w:leftChars="0" w:firstLine="480" w:firstLineChars="200"/>
        <w:rPr>
          <w:rFonts w:hint="default" w:ascii="Times New Roman" w:hAnsi="Times New Roman" w:cs="Times New Roman"/>
          <w:sz w:val="24"/>
          <w:szCs w:val="24"/>
        </w:rPr>
      </w:pPr>
      <w:r>
        <w:rPr>
          <w:rFonts w:hint="eastAsia" w:ascii="Times New Roman" w:hAnsi="Times New Roman" w:cs="Times New Roman"/>
          <w:sz w:val="24"/>
          <w:szCs w:val="24"/>
          <w:lang w:val="en-US" w:eastAsia="zh-CN"/>
        </w:rPr>
        <w:t>我公司承接河南经济贸易技师学院扩建工程项目检测任务后，根据工作任务确定工作人员</w:t>
      </w:r>
      <w:r>
        <w:rPr>
          <w:rFonts w:hint="default" w:ascii="Times New Roman" w:hAnsi="Times New Roman" w:cs="Times New Roman"/>
          <w:sz w:val="24"/>
          <w:szCs w:val="24"/>
        </w:rPr>
        <w:t>。具体要求如下:</w:t>
      </w:r>
    </w:p>
    <w:p>
      <w:pPr>
        <w:pStyle w:val="2"/>
        <w:spacing w:line="360" w:lineRule="auto"/>
        <w:ind w:left="0" w:lef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(1)指定具有场地检测工作经验的专业技术人员为项目负责人</w:t>
      </w:r>
    </w:p>
    <w:p>
      <w:pPr>
        <w:pStyle w:val="2"/>
        <w:spacing w:line="360" w:lineRule="auto"/>
        <w:ind w:left="0" w:lef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(2)由项目负责人与委托方、调查方了解检测目的、确认检测要求、核实现场信息。</w:t>
      </w:r>
    </w:p>
    <w:p>
      <w:pPr>
        <w:pStyle w:val="2"/>
        <w:spacing w:line="360" w:lineRule="auto"/>
        <w:ind w:left="0" w:lef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(3)样品采集人员应具有环境、土壤等相关专业知识,熟悉采样流程,掌握土壤和地下水采样的技术要求和相关设备的操作方法。</w:t>
      </w:r>
    </w:p>
    <w:p>
      <w:pPr>
        <w:pStyle w:val="2"/>
        <w:spacing w:line="360" w:lineRule="auto"/>
        <w:ind w:left="0" w:lef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(4)指定1名具有场地调查工作经验、熟悉场地调查质量保证与质量控制技术规定的质量管理员,负责本项目的全程序质量控制,</w:t>
      </w:r>
    </w:p>
    <w:p>
      <w:pPr>
        <w:spacing w:line="360" w:lineRule="auto"/>
        <w:ind w:firstLine="480" w:firstLineChars="200"/>
        <w:rPr>
          <w:rFonts w:ascii="Times New Roman" w:hAnsi="宋体" w:eastAsia="Times New Roman"/>
          <w:b/>
          <w:sz w:val="24"/>
          <w:szCs w:val="24"/>
        </w:rPr>
      </w:pPr>
      <w:r>
        <w:rPr>
          <w:rFonts w:hint="default" w:ascii="Times New Roman" w:hAnsi="Times New Roman" w:eastAsia="Times New Roman" w:cs="Times New Roman"/>
          <w:b/>
          <w:sz w:val="24"/>
          <w:szCs w:val="24"/>
        </w:rPr>
        <w:t>4.2.3采样方法</w:t>
      </w:r>
    </w:p>
    <w:p>
      <w:pPr>
        <w:widowControl/>
        <w:spacing w:line="360" w:lineRule="auto"/>
        <w:ind w:firstLine="480" w:firstLineChars="200"/>
        <w:jc w:val="left"/>
        <w:rPr>
          <w:rFonts w:hAnsi="宋体"/>
          <w:sz w:val="24"/>
          <w:szCs w:val="24"/>
        </w:rPr>
      </w:pPr>
      <w:r>
        <w:rPr>
          <w:rFonts w:hint="eastAsia" w:hAnsi="宋体"/>
          <w:sz w:val="24"/>
          <w:szCs w:val="24"/>
        </w:rPr>
        <w:t>土壤重金属采样使用土壤重金属分析采样器,其取样步骤如下：</w:t>
      </w:r>
    </w:p>
    <w:p>
      <w:pPr>
        <w:widowControl/>
        <w:spacing w:line="360" w:lineRule="auto"/>
        <w:ind w:firstLine="480" w:firstLineChars="200"/>
        <w:jc w:val="left"/>
        <w:rPr>
          <w:rFonts w:hAnsi="宋体"/>
          <w:sz w:val="24"/>
          <w:szCs w:val="24"/>
        </w:rPr>
      </w:pPr>
      <w:r>
        <w:rPr>
          <w:rFonts w:hint="eastAsia" w:hAnsi="宋体"/>
          <w:sz w:val="24"/>
          <w:szCs w:val="24"/>
        </w:rPr>
        <w:t>(1)安装切割头、衬片、采样管和采样管固定器</w:t>
      </w:r>
    </w:p>
    <w:p>
      <w:pPr>
        <w:widowControl/>
        <w:spacing w:line="360" w:lineRule="auto"/>
        <w:ind w:firstLine="480" w:firstLineChars="200"/>
        <w:jc w:val="left"/>
        <w:rPr>
          <w:rFonts w:hAnsi="宋体"/>
          <w:sz w:val="24"/>
          <w:szCs w:val="24"/>
        </w:rPr>
      </w:pPr>
      <w:r>
        <w:rPr>
          <w:rFonts w:hint="eastAsia" w:hAnsi="宋体"/>
          <w:sz w:val="24"/>
          <w:szCs w:val="24"/>
        </w:rPr>
        <w:t>(2)连接击打手柄、延长杆和钻头、螺纹连接</w:t>
      </w:r>
    </w:p>
    <w:p>
      <w:pPr>
        <w:widowControl/>
        <w:spacing w:line="360" w:lineRule="auto"/>
        <w:ind w:firstLine="480" w:firstLineChars="200"/>
        <w:jc w:val="left"/>
        <w:rPr>
          <w:rFonts w:hAnsi="宋体"/>
          <w:sz w:val="24"/>
          <w:szCs w:val="24"/>
        </w:rPr>
      </w:pPr>
      <w:r>
        <w:rPr>
          <w:rFonts w:hint="eastAsia" w:hAnsi="宋体"/>
          <w:sz w:val="24"/>
          <w:szCs w:val="24"/>
        </w:rPr>
        <w:t>(3)选择采样点,将钻头放在采样点,一人双手握住击打手柄另一人用吸能铺锤击击打手杯,钻头即进入土中,</w:t>
      </w:r>
    </w:p>
    <w:p>
      <w:pPr>
        <w:widowControl/>
        <w:spacing w:line="360" w:lineRule="auto"/>
        <w:ind w:firstLine="480" w:firstLineChars="200"/>
        <w:jc w:val="left"/>
        <w:rPr>
          <w:rFonts w:hAnsi="宋体"/>
          <w:sz w:val="24"/>
          <w:szCs w:val="24"/>
        </w:rPr>
      </w:pPr>
      <w:r>
        <w:rPr>
          <w:rFonts w:hint="eastAsia" w:hAnsi="宋体"/>
          <w:sz w:val="24"/>
          <w:szCs w:val="24"/>
        </w:rPr>
        <w:t>(4)到达采样深度后,上提钻体,土壤即保留在钻头内,卸下采样管固定器,向外拉衬片,土样随衬片取出,至此完成一次采样。</w:t>
      </w:r>
    </w:p>
    <w:p>
      <w:pPr>
        <w:widowControl/>
        <w:spacing w:line="360" w:lineRule="auto"/>
        <w:ind w:firstLine="480" w:firstLineChars="200"/>
        <w:jc w:val="left"/>
        <w:rPr>
          <w:rFonts w:hAnsi="宋体"/>
          <w:sz w:val="24"/>
          <w:szCs w:val="24"/>
        </w:rPr>
      </w:pPr>
      <w:r>
        <w:rPr>
          <w:rFonts w:hint="eastAsia" w:hAnsi="宋体"/>
          <w:sz w:val="24"/>
          <w:szCs w:val="24"/>
        </w:rPr>
        <w:t>土壤有机物采样使用土壤有机物分析采样器,其取样步骤如下:</w:t>
      </w:r>
    </w:p>
    <w:p>
      <w:pPr>
        <w:widowControl/>
        <w:spacing w:line="360" w:lineRule="auto"/>
        <w:ind w:firstLine="480" w:firstLineChars="200"/>
        <w:jc w:val="left"/>
        <w:rPr>
          <w:rFonts w:hAnsi="宋体"/>
          <w:sz w:val="24"/>
          <w:szCs w:val="24"/>
        </w:rPr>
      </w:pPr>
      <w:r>
        <w:rPr>
          <w:rFonts w:hint="eastAsia" w:hAnsi="宋体"/>
          <w:sz w:val="24"/>
          <w:szCs w:val="24"/>
        </w:rPr>
        <w:t>(1)安装采样管和采样管固定器</w:t>
      </w:r>
    </w:p>
    <w:p>
      <w:pPr>
        <w:widowControl/>
        <w:spacing w:line="360" w:lineRule="auto"/>
        <w:ind w:firstLine="480" w:firstLineChars="200"/>
        <w:jc w:val="left"/>
        <w:rPr>
          <w:rFonts w:hAnsi="宋体"/>
          <w:sz w:val="24"/>
          <w:szCs w:val="24"/>
        </w:rPr>
      </w:pPr>
      <w:r>
        <w:rPr>
          <w:rFonts w:hint="eastAsia" w:hAnsi="宋体"/>
          <w:sz w:val="24"/>
          <w:szCs w:val="24"/>
        </w:rPr>
        <w:t>(2)连接击打手柄、延长杆和钻头、螺纹连接</w:t>
      </w:r>
    </w:p>
    <w:p>
      <w:pPr>
        <w:widowControl/>
        <w:spacing w:line="360" w:lineRule="auto"/>
        <w:ind w:firstLine="480" w:firstLineChars="200"/>
        <w:jc w:val="left"/>
        <w:rPr>
          <w:rFonts w:hAnsi="宋体"/>
          <w:sz w:val="24"/>
          <w:szCs w:val="24"/>
        </w:rPr>
      </w:pPr>
      <w:r>
        <w:rPr>
          <w:rFonts w:hint="eastAsia" w:hAnsi="宋体"/>
          <w:sz w:val="24"/>
          <w:szCs w:val="24"/>
        </w:rPr>
        <w:t>(3)选择采样点,将钻头放在采样点,一人双手握住击打手柄另一人用橡胶锤锤击击打手柄,钻头即进入土中</w:t>
      </w:r>
    </w:p>
    <w:p>
      <w:pPr>
        <w:widowControl/>
        <w:spacing w:line="360" w:lineRule="auto"/>
        <w:ind w:firstLine="480" w:firstLineChars="200"/>
        <w:jc w:val="left"/>
        <w:rPr>
          <w:rFonts w:hAnsi="宋体"/>
          <w:sz w:val="24"/>
          <w:szCs w:val="24"/>
        </w:rPr>
      </w:pPr>
      <w:r>
        <w:rPr>
          <w:rFonts w:hint="eastAsia" w:hAnsi="宋体"/>
          <w:sz w:val="24"/>
          <w:szCs w:val="24"/>
        </w:rPr>
        <w:t>(4)到达采样深度后,上提钻体,土壤即保留在钻头内,卸下采样管固定器,至此完成一次采样。详情见照片1、照片2、照片3。</w:t>
      </w:r>
    </w:p>
    <w:tbl>
      <w:tblPr>
        <w:tblStyle w:val="9"/>
        <w:tblW w:w="8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36"/>
        <w:gridCol w:w="4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6" w:hRule="atLeast"/>
        </w:trPr>
        <w:tc>
          <w:tcPr>
            <w:tcW w:w="4220" w:type="dxa"/>
            <w:noWrap/>
          </w:tcPr>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2535555" cy="3263900"/>
                  <wp:effectExtent l="0" t="0" r="17145" b="12700"/>
                  <wp:docPr id="17" name="图片 1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
                          <pic:cNvPicPr>
                            <a:picLocks noChangeAspect="1"/>
                          </pic:cNvPicPr>
                        </pic:nvPicPr>
                        <pic:blipFill>
                          <a:blip r:embed="rId20"/>
                          <a:stretch>
                            <a:fillRect/>
                          </a:stretch>
                        </pic:blipFill>
                        <pic:spPr>
                          <a:xfrm>
                            <a:off x="0" y="0"/>
                            <a:ext cx="2535555" cy="3263900"/>
                          </a:xfrm>
                          <a:prstGeom prst="rect">
                            <a:avLst/>
                          </a:prstGeom>
                        </pic:spPr>
                      </pic:pic>
                    </a:graphicData>
                  </a:graphic>
                </wp:inline>
              </w:drawing>
            </w:r>
          </w:p>
        </w:tc>
        <w:tc>
          <w:tcPr>
            <w:tcW w:w="4220" w:type="dxa"/>
            <w:noWrap/>
          </w:tcPr>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2458085" cy="3277235"/>
                  <wp:effectExtent l="0" t="0" r="18415" b="18415"/>
                  <wp:docPr id="22" name="图片 2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
                          <pic:cNvPicPr>
                            <a:picLocks noChangeAspect="1"/>
                          </pic:cNvPicPr>
                        </pic:nvPicPr>
                        <pic:blipFill>
                          <a:blip r:embed="rId21"/>
                          <a:stretch>
                            <a:fillRect/>
                          </a:stretch>
                        </pic:blipFill>
                        <pic:spPr>
                          <a:xfrm>
                            <a:off x="0" y="0"/>
                            <a:ext cx="2458085" cy="3277235"/>
                          </a:xfrm>
                          <a:prstGeom prst="rect">
                            <a:avLst/>
                          </a:prstGeom>
                        </pic:spPr>
                      </pic:pic>
                    </a:graphicData>
                  </a:graphic>
                </wp:inline>
              </w:drawing>
            </w:r>
          </w:p>
        </w:tc>
      </w:tr>
    </w:tbl>
    <w:p>
      <w:pPr>
        <w:widowControl/>
        <w:spacing w:line="360" w:lineRule="auto"/>
        <w:ind w:firstLine="482" w:firstLineChars="200"/>
        <w:jc w:val="center"/>
        <w:rPr>
          <w:rFonts w:hAnsi="宋体"/>
          <w:b/>
          <w:bCs/>
          <w:sz w:val="24"/>
          <w:szCs w:val="24"/>
        </w:rPr>
      </w:pPr>
      <w:r>
        <w:rPr>
          <w:rFonts w:hint="eastAsia" w:hAnsi="宋体"/>
          <w:b/>
          <w:bCs/>
          <w:sz w:val="24"/>
          <w:szCs w:val="24"/>
        </w:rPr>
        <w:t>照片1样品采集</w:t>
      </w:r>
    </w:p>
    <w:tbl>
      <w:tblPr>
        <w:tblStyle w:val="9"/>
        <w:tblW w:w="8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6"/>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0" w:hRule="atLeast"/>
        </w:trPr>
        <w:tc>
          <w:tcPr>
            <w:tcW w:w="4166" w:type="dxa"/>
            <w:noWrap/>
          </w:tcPr>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2501900" cy="3510915"/>
                  <wp:effectExtent l="0" t="0" r="12700" b="13335"/>
                  <wp:docPr id="23" name="图片 2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3"/>
                          <pic:cNvPicPr>
                            <a:picLocks noChangeAspect="1"/>
                          </pic:cNvPicPr>
                        </pic:nvPicPr>
                        <pic:blipFill>
                          <a:blip r:embed="rId22"/>
                          <a:stretch>
                            <a:fillRect/>
                          </a:stretch>
                        </pic:blipFill>
                        <pic:spPr>
                          <a:xfrm>
                            <a:off x="0" y="0"/>
                            <a:ext cx="2501900" cy="3510915"/>
                          </a:xfrm>
                          <a:prstGeom prst="rect">
                            <a:avLst/>
                          </a:prstGeom>
                        </pic:spPr>
                      </pic:pic>
                    </a:graphicData>
                  </a:graphic>
                </wp:inline>
              </w:drawing>
            </w:r>
          </w:p>
        </w:tc>
        <w:tc>
          <w:tcPr>
            <w:tcW w:w="4253" w:type="dxa"/>
            <w:noWrap/>
          </w:tcPr>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2545715" cy="3394075"/>
                  <wp:effectExtent l="0" t="0" r="6985" b="15875"/>
                  <wp:docPr id="24" name="图片 2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4"/>
                          <pic:cNvPicPr>
                            <a:picLocks noChangeAspect="1"/>
                          </pic:cNvPicPr>
                        </pic:nvPicPr>
                        <pic:blipFill>
                          <a:blip r:embed="rId23"/>
                          <a:stretch>
                            <a:fillRect/>
                          </a:stretch>
                        </pic:blipFill>
                        <pic:spPr>
                          <a:xfrm>
                            <a:off x="0" y="0"/>
                            <a:ext cx="2545715" cy="3394075"/>
                          </a:xfrm>
                          <a:prstGeom prst="rect">
                            <a:avLst/>
                          </a:prstGeom>
                        </pic:spPr>
                      </pic:pic>
                    </a:graphicData>
                  </a:graphic>
                </wp:inline>
              </w:drawing>
            </w:r>
          </w:p>
        </w:tc>
      </w:tr>
    </w:tbl>
    <w:p>
      <w:pPr>
        <w:widowControl/>
        <w:spacing w:line="360" w:lineRule="auto"/>
        <w:ind w:firstLine="482" w:firstLineChars="200"/>
        <w:jc w:val="center"/>
        <w:rPr>
          <w:rFonts w:hAnsi="宋体"/>
          <w:b/>
          <w:bCs/>
          <w:sz w:val="24"/>
          <w:szCs w:val="24"/>
        </w:rPr>
      </w:pPr>
      <w:r>
        <w:rPr>
          <w:rFonts w:hint="eastAsia" w:hAnsi="宋体"/>
          <w:b/>
          <w:bCs/>
          <w:sz w:val="24"/>
          <w:szCs w:val="24"/>
        </w:rPr>
        <w:t>照片2样品采集</w:t>
      </w:r>
    </w:p>
    <w:tbl>
      <w:tblPr>
        <w:tblStyle w:val="10"/>
        <w:tblW w:w="8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0"/>
        <w:gridCol w:w="4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6" w:hRule="atLeast"/>
        </w:trPr>
        <w:tc>
          <w:tcPr>
            <w:tcW w:w="4270" w:type="dxa"/>
          </w:tcPr>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2545715" cy="3408680"/>
                  <wp:effectExtent l="0" t="0" r="6985" b="1270"/>
                  <wp:docPr id="25" name="图片 25" descr="H:\土壤调查评估\河南经济贸易技师学院土调\经贸学校\1 (2).jpg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H:\土壤调查评估\河南经济贸易技师学院土调\经贸学校\1 (2).jpg1 (2)"/>
                          <pic:cNvPicPr>
                            <a:picLocks noChangeAspect="1"/>
                          </pic:cNvPicPr>
                        </pic:nvPicPr>
                        <pic:blipFill>
                          <a:blip r:embed="rId24"/>
                          <a:srcRect/>
                          <a:stretch>
                            <a:fillRect/>
                          </a:stretch>
                        </pic:blipFill>
                        <pic:spPr>
                          <a:xfrm>
                            <a:off x="0" y="0"/>
                            <a:ext cx="2545715" cy="3408680"/>
                          </a:xfrm>
                          <a:prstGeom prst="rect">
                            <a:avLst/>
                          </a:prstGeom>
                        </pic:spPr>
                      </pic:pic>
                    </a:graphicData>
                  </a:graphic>
                </wp:inline>
              </w:drawing>
            </w:r>
          </w:p>
        </w:tc>
        <w:tc>
          <w:tcPr>
            <w:tcW w:w="4270" w:type="dxa"/>
          </w:tcPr>
          <w:p>
            <w:pPr>
              <w:widowControl/>
              <w:spacing w:line="360" w:lineRule="auto"/>
              <w:jc w:val="left"/>
              <w:rPr>
                <w:rFonts w:hint="eastAsia" w:hAnsi="宋体" w:eastAsia="宋体"/>
                <w:sz w:val="24"/>
                <w:szCs w:val="24"/>
                <w:lang w:eastAsia="zh-CN"/>
              </w:rPr>
            </w:pPr>
            <w:r>
              <w:rPr>
                <w:rFonts w:hint="eastAsia" w:hAnsi="宋体" w:eastAsia="宋体"/>
                <w:sz w:val="24"/>
                <w:szCs w:val="24"/>
                <w:lang w:eastAsia="zh-CN"/>
              </w:rPr>
              <w:drawing>
                <wp:inline distT="0" distB="0" distL="114300" distR="114300">
                  <wp:extent cx="2545715" cy="3485515"/>
                  <wp:effectExtent l="0" t="0" r="6985" b="635"/>
                  <wp:docPr id="26" name="图片 26" descr="H:\土壤调查评估\河南经济贸易技师学院土调\经贸学校\3 (2).jpg3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H:\土壤调查评估\河南经济贸易技师学院土调\经贸学校\3 (2).jpg3 (2)"/>
                          <pic:cNvPicPr>
                            <a:picLocks noChangeAspect="1"/>
                          </pic:cNvPicPr>
                        </pic:nvPicPr>
                        <pic:blipFill>
                          <a:blip r:embed="rId25"/>
                          <a:srcRect/>
                          <a:stretch>
                            <a:fillRect/>
                          </a:stretch>
                        </pic:blipFill>
                        <pic:spPr>
                          <a:xfrm>
                            <a:off x="0" y="0"/>
                            <a:ext cx="2545715" cy="3485515"/>
                          </a:xfrm>
                          <a:prstGeom prst="rect">
                            <a:avLst/>
                          </a:prstGeom>
                        </pic:spPr>
                      </pic:pic>
                    </a:graphicData>
                  </a:graphic>
                </wp:inline>
              </w:drawing>
            </w:r>
          </w:p>
        </w:tc>
      </w:tr>
    </w:tbl>
    <w:p>
      <w:pPr>
        <w:widowControl/>
        <w:spacing w:line="360" w:lineRule="auto"/>
        <w:ind w:firstLine="482" w:firstLineChars="200"/>
        <w:jc w:val="center"/>
        <w:rPr>
          <w:rFonts w:hAnsi="宋体"/>
          <w:b/>
          <w:bCs/>
          <w:sz w:val="24"/>
          <w:szCs w:val="24"/>
        </w:rPr>
      </w:pPr>
      <w:r>
        <w:rPr>
          <w:rFonts w:hint="eastAsia" w:hAnsi="宋体"/>
          <w:b/>
          <w:bCs/>
          <w:sz w:val="24"/>
          <w:szCs w:val="24"/>
        </w:rPr>
        <w:t>照片3样品采集</w:t>
      </w:r>
    </w:p>
    <w:p>
      <w:pPr>
        <w:spacing w:line="360" w:lineRule="auto"/>
        <w:ind w:firstLine="480" w:firstLineChars="200"/>
        <w:rPr>
          <w:rFonts w:ascii="Times New Roman" w:hAnsi="宋体" w:eastAsia="Times New Roman"/>
          <w:b/>
          <w:sz w:val="24"/>
          <w:szCs w:val="24"/>
        </w:rPr>
      </w:pPr>
      <w:r>
        <w:rPr>
          <w:rFonts w:hint="eastAsia" w:ascii="Times New Roman" w:hAnsi="宋体" w:eastAsia="Times New Roman"/>
          <w:b/>
          <w:sz w:val="24"/>
          <w:szCs w:val="24"/>
        </w:rPr>
        <w:t>4.2.4采样要求</w:t>
      </w:r>
    </w:p>
    <w:p>
      <w:pPr>
        <w:widowControl/>
        <w:spacing w:line="360" w:lineRule="auto"/>
        <w:ind w:firstLine="480" w:firstLineChars="200"/>
        <w:jc w:val="left"/>
        <w:rPr>
          <w:rFonts w:hAnsi="宋体"/>
          <w:sz w:val="24"/>
          <w:szCs w:val="24"/>
        </w:rPr>
      </w:pPr>
      <w:r>
        <w:rPr>
          <w:rFonts w:hint="eastAsia" w:hAnsi="宋体"/>
          <w:sz w:val="24"/>
          <w:szCs w:val="24"/>
        </w:rPr>
        <w:t>土壤样品的采集按照《场地环境监测技术导则》（HJ 25.2-2019）、《土壤环境监测技术规范》（HT/T166-2004）执行。</w:t>
      </w:r>
    </w:p>
    <w:p>
      <w:pPr>
        <w:widowControl/>
        <w:spacing w:line="360" w:lineRule="auto"/>
        <w:ind w:firstLine="480" w:firstLineChars="200"/>
        <w:jc w:val="left"/>
        <w:rPr>
          <w:rFonts w:hAnsi="宋体"/>
          <w:sz w:val="24"/>
          <w:szCs w:val="24"/>
        </w:rPr>
      </w:pPr>
      <w:r>
        <w:rPr>
          <w:rFonts w:hint="eastAsia" w:hAnsi="宋体"/>
          <w:sz w:val="24"/>
          <w:szCs w:val="24"/>
        </w:rPr>
        <w:t>（3）土壤样品采集拍照记录</w:t>
      </w:r>
    </w:p>
    <w:p>
      <w:pPr>
        <w:widowControl/>
        <w:spacing w:line="360" w:lineRule="auto"/>
        <w:ind w:firstLine="480" w:firstLineChars="200"/>
        <w:jc w:val="left"/>
        <w:rPr>
          <w:rFonts w:hAnsi="宋体"/>
          <w:sz w:val="24"/>
          <w:szCs w:val="24"/>
        </w:rPr>
      </w:pPr>
      <w:r>
        <w:rPr>
          <w:rFonts w:hint="eastAsia" w:hAnsi="宋体"/>
          <w:sz w:val="24"/>
          <w:szCs w:val="24"/>
        </w:rPr>
        <w:t>土壤样品采集过程针对采样工具、采集位置、不同类型采样瓶土壤装样过程、样品瓶编号、盛放柱状样的岩芯箱、现场检测器使用等关键信息拍照记录，每个关键信息至少1张照片，以备质量控制。</w:t>
      </w:r>
    </w:p>
    <w:p>
      <w:pPr>
        <w:widowControl/>
        <w:spacing w:line="360" w:lineRule="auto"/>
        <w:ind w:firstLine="480" w:firstLineChars="200"/>
        <w:jc w:val="left"/>
        <w:rPr>
          <w:rFonts w:hAnsi="宋体"/>
          <w:sz w:val="24"/>
          <w:szCs w:val="24"/>
        </w:rPr>
      </w:pPr>
      <w:r>
        <w:rPr>
          <w:rFonts w:hint="eastAsia" w:hAnsi="宋体"/>
          <w:sz w:val="24"/>
          <w:szCs w:val="24"/>
        </w:rPr>
        <w:t>（5）地下水样品采集要求</w:t>
      </w:r>
    </w:p>
    <w:p>
      <w:pPr>
        <w:pStyle w:val="16"/>
        <w:keepNext w:val="0"/>
        <w:keepLines w:val="0"/>
        <w:widowControl w:val="0"/>
        <w:shd w:val="clear" w:color="auto" w:fill="auto"/>
        <w:bidi w:val="0"/>
        <w:spacing w:before="0" w:after="0" w:line="360" w:lineRule="auto"/>
        <w:ind w:left="0" w:right="0" w:firstLine="560"/>
        <w:jc w:val="both"/>
        <w:rPr>
          <w:rFonts w:hint="eastAsia" w:hAnsi="宋体"/>
          <w:sz w:val="24"/>
          <w:szCs w:val="24"/>
        </w:rPr>
      </w:pPr>
      <w:r>
        <w:rPr>
          <w:rFonts w:hint="eastAsia" w:hAnsi="宋体"/>
          <w:sz w:val="24"/>
          <w:szCs w:val="24"/>
        </w:rPr>
        <w:t>地下水样品的采集按照《地下水环境监测技术规范》（HJ/T 164-2004）执行。使用低流量潜水泵进行洗井，先釆集用于检测</w:t>
      </w:r>
      <w:r>
        <w:rPr>
          <w:rFonts w:hint="eastAsia" w:hAnsi="宋体"/>
          <w:sz w:val="24"/>
          <w:szCs w:val="24"/>
          <w:lang w:val="en-US" w:eastAsia="en-US"/>
        </w:rPr>
        <w:t>VOCs</w:t>
      </w:r>
      <w:r>
        <w:rPr>
          <w:rFonts w:hint="eastAsia" w:hAnsi="宋体"/>
          <w:sz w:val="24"/>
          <w:szCs w:val="24"/>
        </w:rPr>
        <w:t>的水样，再釆集用于检测其他水质指标的水样。</w:t>
      </w:r>
    </w:p>
    <w:p>
      <w:pPr>
        <w:pStyle w:val="16"/>
        <w:keepNext w:val="0"/>
        <w:keepLines w:val="0"/>
        <w:widowControl w:val="0"/>
        <w:shd w:val="clear" w:color="auto" w:fill="auto"/>
        <w:bidi w:val="0"/>
        <w:spacing w:before="0" w:after="0" w:line="360" w:lineRule="auto"/>
        <w:ind w:left="0" w:right="0" w:firstLine="560"/>
        <w:jc w:val="both"/>
        <w:rPr>
          <w:rFonts w:hAnsi="宋体"/>
          <w:sz w:val="24"/>
          <w:szCs w:val="24"/>
        </w:rPr>
      </w:pPr>
      <w:r>
        <w:rPr>
          <w:rFonts w:hint="eastAsia" w:hAnsi="宋体"/>
          <w:sz w:val="24"/>
          <w:szCs w:val="24"/>
        </w:rPr>
        <w:t>根据项目特性添加不同的固定剂，据据项目要求使用相应的储存容器，并釆取适当的保温措施，保证样品有效性。</w:t>
      </w:r>
    </w:p>
    <w:p>
      <w:pPr>
        <w:spacing w:line="360" w:lineRule="auto"/>
        <w:ind w:firstLine="480" w:firstLineChars="200"/>
      </w:pPr>
      <w:r>
        <w:rPr>
          <w:rFonts w:hint="eastAsia" w:ascii="Times New Roman" w:hAnsi="宋体" w:eastAsia="Times New Roman"/>
          <w:b/>
          <w:sz w:val="24"/>
          <w:szCs w:val="24"/>
        </w:rPr>
        <w:t>4.2.4样品保存与流转</w:t>
      </w:r>
    </w:p>
    <w:p>
      <w:pPr>
        <w:widowControl/>
        <w:spacing w:line="360" w:lineRule="auto"/>
        <w:ind w:firstLine="480" w:firstLineChars="200"/>
        <w:jc w:val="left"/>
        <w:rPr>
          <w:rFonts w:hAnsi="宋体"/>
          <w:sz w:val="24"/>
          <w:szCs w:val="24"/>
        </w:rPr>
      </w:pPr>
      <w:bookmarkStart w:id="386" w:name="_Toc25673286"/>
      <w:r>
        <w:rPr>
          <w:rFonts w:hint="eastAsia" w:hAnsi="宋体"/>
          <w:sz w:val="24"/>
          <w:szCs w:val="24"/>
        </w:rPr>
        <w:t>样品装运前采样员对点复核,现场核对样品与样品记表、样品标签、采样记录等。核对无误后分类装箱,同一采样点的样品瓶装在同一箱内,样品均在采集完当天送回实验室</w:t>
      </w:r>
      <w:bookmarkEnd w:id="386"/>
      <w:r>
        <w:rPr>
          <w:rFonts w:hint="eastAsia" w:hAnsi="宋体"/>
          <w:sz w:val="24"/>
          <w:szCs w:val="24"/>
        </w:rPr>
        <w:t>。</w:t>
      </w:r>
    </w:p>
    <w:p>
      <w:pPr>
        <w:spacing w:line="360" w:lineRule="auto"/>
        <w:ind w:firstLine="480" w:firstLineChars="200"/>
        <w:rPr>
          <w:rFonts w:ascii="Times New Roman" w:hAnsi="宋体" w:eastAsia="Times New Roman"/>
          <w:b/>
          <w:sz w:val="24"/>
          <w:szCs w:val="24"/>
        </w:rPr>
      </w:pPr>
      <w:bookmarkStart w:id="387" w:name="_Toc27078371"/>
      <w:bookmarkStart w:id="388" w:name="_Toc27577076"/>
      <w:bookmarkStart w:id="389" w:name="_Toc25673274"/>
      <w:r>
        <w:rPr>
          <w:rFonts w:hint="eastAsia" w:ascii="Times New Roman" w:hAnsi="宋体" w:eastAsia="Times New Roman"/>
          <w:b/>
          <w:sz w:val="24"/>
          <w:szCs w:val="24"/>
        </w:rPr>
        <w:t>4.2.5样品的交接和保存质量保证</w:t>
      </w:r>
    </w:p>
    <w:p>
      <w:pPr>
        <w:keepNext w:val="0"/>
        <w:keepLines w:val="0"/>
        <w:pageBreakBefore w:val="0"/>
        <w:widowControl w:val="0"/>
        <w:kinsoku/>
        <w:wordWrap/>
        <w:overflowPunct/>
        <w:topLinePunct w:val="0"/>
        <w:autoSpaceDE w:val="0"/>
        <w:autoSpaceDN/>
        <w:bidi w:val="0"/>
        <w:adjustRightInd/>
        <w:snapToGrid/>
        <w:spacing w:line="360" w:lineRule="auto"/>
        <w:ind w:firstLine="480" w:firstLineChars="200"/>
        <w:textAlignment w:val="auto"/>
        <w:rPr>
          <w:rFonts w:hint="eastAsia" w:hAnsi="宋体"/>
          <w:sz w:val="24"/>
          <w:szCs w:val="24"/>
          <w:lang w:val="en-US" w:eastAsia="zh-CN"/>
        </w:rPr>
      </w:pPr>
      <w:r>
        <w:rPr>
          <w:rFonts w:hint="eastAsia" w:hAnsi="宋体"/>
          <w:sz w:val="24"/>
          <w:szCs w:val="24"/>
        </w:rPr>
        <w:t>样品管理员收到样品箱后立即检查样品箱是否有破损，按照样品运输单清点核实样品数量、样品瓶编号以及破损情况。核查无误后签字收样，按要求进行入库存储或样品制备等。该项目共</w:t>
      </w:r>
      <w:r>
        <w:rPr>
          <w:rFonts w:hint="eastAsia" w:hAnsi="宋体"/>
          <w:sz w:val="24"/>
          <w:szCs w:val="24"/>
          <w:lang w:eastAsia="zh-CN"/>
        </w:rPr>
        <w:t>交接</w:t>
      </w:r>
      <w:r>
        <w:rPr>
          <w:rFonts w:hint="eastAsia" w:hAnsi="宋体"/>
          <w:sz w:val="24"/>
          <w:szCs w:val="24"/>
          <w:lang w:val="en-US" w:eastAsia="zh-CN"/>
        </w:rPr>
        <w:t>21</w:t>
      </w:r>
      <w:r>
        <w:rPr>
          <w:rFonts w:hint="eastAsia" w:hAnsi="宋体"/>
          <w:sz w:val="24"/>
          <w:szCs w:val="24"/>
        </w:rPr>
        <w:t>个</w:t>
      </w:r>
      <w:r>
        <w:rPr>
          <w:rFonts w:hint="eastAsia" w:hAnsi="宋体"/>
          <w:sz w:val="24"/>
          <w:szCs w:val="24"/>
          <w:lang w:eastAsia="zh-CN"/>
        </w:rPr>
        <w:t>点位的</w:t>
      </w:r>
      <w:r>
        <w:rPr>
          <w:rFonts w:hint="eastAsia" w:hAnsi="宋体"/>
          <w:sz w:val="24"/>
          <w:szCs w:val="24"/>
        </w:rPr>
        <w:t>土壤样品</w:t>
      </w:r>
      <w:r>
        <w:rPr>
          <w:rFonts w:hint="eastAsia" w:hAnsi="宋体"/>
          <w:sz w:val="24"/>
          <w:szCs w:val="24"/>
          <w:lang w:eastAsia="zh-CN"/>
        </w:rPr>
        <w:t>（</w:t>
      </w:r>
      <w:r>
        <w:rPr>
          <w:rFonts w:hint="eastAsia" w:hAnsi="宋体"/>
          <w:sz w:val="24"/>
          <w:szCs w:val="24"/>
          <w:lang w:val="en-US" w:eastAsia="zh-CN"/>
        </w:rPr>
        <w:t>2个平行样</w:t>
      </w:r>
      <w:r>
        <w:rPr>
          <w:rFonts w:hint="eastAsia" w:hAnsi="宋体"/>
          <w:sz w:val="24"/>
          <w:szCs w:val="24"/>
          <w:lang w:eastAsia="zh-CN"/>
        </w:rPr>
        <w:t>）</w:t>
      </w:r>
      <w:r>
        <w:rPr>
          <w:rFonts w:hint="eastAsia" w:hAnsi="宋体"/>
          <w:sz w:val="24"/>
          <w:szCs w:val="24"/>
        </w:rPr>
        <w:t>及</w:t>
      </w:r>
      <w:r>
        <w:rPr>
          <w:rFonts w:hint="eastAsia" w:hAnsi="宋体"/>
          <w:sz w:val="24"/>
          <w:szCs w:val="24"/>
          <w:lang w:val="en-US" w:eastAsia="zh-CN"/>
        </w:rPr>
        <w:t>3</w:t>
      </w:r>
      <w:r>
        <w:rPr>
          <w:rFonts w:hint="eastAsia" w:hAnsi="宋体"/>
          <w:sz w:val="24"/>
          <w:szCs w:val="24"/>
        </w:rPr>
        <w:t>个点位的地下水样品</w:t>
      </w:r>
      <w:r>
        <w:rPr>
          <w:rFonts w:hint="eastAsia" w:hAnsi="宋体"/>
          <w:sz w:val="24"/>
          <w:szCs w:val="24"/>
          <w:lang w:eastAsia="zh-CN"/>
        </w:rPr>
        <w:t>（</w:t>
      </w:r>
      <w:r>
        <w:rPr>
          <w:rFonts w:hint="eastAsia" w:hAnsi="宋体"/>
          <w:sz w:val="24"/>
          <w:szCs w:val="24"/>
          <w:lang w:val="en-US" w:eastAsia="zh-CN"/>
        </w:rPr>
        <w:t>1个平行样</w:t>
      </w:r>
      <w:r>
        <w:rPr>
          <w:rFonts w:hint="eastAsia" w:hAnsi="宋体"/>
          <w:sz w:val="24"/>
          <w:szCs w:val="24"/>
          <w:lang w:eastAsia="zh-CN"/>
        </w:rPr>
        <w:t>）</w:t>
      </w:r>
      <w:r>
        <w:rPr>
          <w:rFonts w:hint="eastAsia" w:hAnsi="宋体"/>
          <w:sz w:val="24"/>
          <w:szCs w:val="24"/>
        </w:rPr>
        <w:t>。样品皆依据规范中“样品保存及质量保证”进行储存。土壤、地下水样品按功能区域分开存放，样品管理员对样品标识</w:t>
      </w:r>
      <w:r>
        <w:rPr>
          <w:rFonts w:hint="eastAsia" w:hAnsi="宋体"/>
          <w:sz w:val="24"/>
          <w:szCs w:val="24"/>
          <w:lang w:eastAsia="zh-CN"/>
        </w:rPr>
        <w:t>、</w:t>
      </w:r>
      <w:r>
        <w:rPr>
          <w:rFonts w:hint="eastAsia" w:hAnsi="宋体"/>
          <w:sz w:val="24"/>
          <w:szCs w:val="24"/>
        </w:rPr>
        <w:t>包装容器、样品状态、保存环境条件等监控进行监督检查。</w:t>
      </w:r>
      <w:r>
        <w:rPr>
          <w:rFonts w:hint="eastAsia" w:hAnsi="宋体"/>
          <w:sz w:val="24"/>
          <w:szCs w:val="24"/>
          <w:lang w:eastAsia="zh-CN"/>
        </w:rPr>
        <w:t>样品流转记录表见下图</w:t>
      </w:r>
      <w:r>
        <w:rPr>
          <w:rFonts w:hint="eastAsia" w:hAnsi="宋体"/>
          <w:sz w:val="24"/>
          <w:szCs w:val="24"/>
          <w:lang w:val="en-US" w:eastAsia="zh-CN"/>
        </w:rPr>
        <w:t>。</w:t>
      </w:r>
    </w:p>
    <w:p>
      <w:pPr>
        <w:pStyle w:val="2"/>
        <w:rPr>
          <w:rFonts w:hint="eastAsia" w:hAnsi="宋体"/>
          <w:sz w:val="24"/>
          <w:szCs w:val="24"/>
          <w:lang w:val="en-US" w:eastAsia="zh-CN"/>
        </w:rPr>
      </w:pPr>
    </w:p>
    <w:p>
      <w:pPr>
        <w:pStyle w:val="3"/>
        <w:rPr>
          <w:rFonts w:hint="eastAsia" w:hAnsi="宋体"/>
          <w:sz w:val="24"/>
          <w:szCs w:val="24"/>
          <w:lang w:val="en-US" w:eastAsia="zh-CN"/>
        </w:rPr>
      </w:pPr>
    </w:p>
    <w:p>
      <w:pPr>
        <w:pStyle w:val="3"/>
        <w:rPr>
          <w:rFonts w:hint="eastAsia" w:hAnsi="宋体"/>
          <w:sz w:val="24"/>
          <w:szCs w:val="24"/>
          <w:lang w:val="en-US" w:eastAsia="zh-CN"/>
        </w:rPr>
      </w:pPr>
    </w:p>
    <w:p>
      <w:pPr>
        <w:pStyle w:val="3"/>
        <w:rPr>
          <w:rFonts w:hint="eastAsia" w:hAnsi="宋体"/>
          <w:sz w:val="24"/>
          <w:szCs w:val="24"/>
          <w:lang w:val="en-US" w:eastAsia="zh-CN"/>
        </w:rPr>
      </w:pPr>
    </w:p>
    <w:p>
      <w:pPr>
        <w:pStyle w:val="3"/>
        <w:rPr>
          <w:rFonts w:hint="eastAsia" w:hAnsi="宋体"/>
          <w:sz w:val="24"/>
          <w:szCs w:val="24"/>
          <w:lang w:val="en-US" w:eastAsia="zh-CN"/>
        </w:rPr>
      </w:pPr>
    </w:p>
    <w:p>
      <w:pPr>
        <w:pStyle w:val="3"/>
        <w:rPr>
          <w:rFonts w:hint="eastAsia" w:hAnsi="宋体"/>
          <w:sz w:val="24"/>
          <w:szCs w:val="24"/>
          <w:lang w:val="en-US" w:eastAsia="zh-CN"/>
        </w:rPr>
      </w:pPr>
    </w:p>
    <w:p>
      <w:pPr>
        <w:widowControl/>
        <w:spacing w:line="360" w:lineRule="auto"/>
        <w:jc w:val="left"/>
        <w:rPr>
          <w:rFonts w:hAnsi="宋体"/>
          <w:sz w:val="24"/>
          <w:szCs w:val="24"/>
        </w:rPr>
        <w:sectPr>
          <w:footerReference r:id="rId4" w:type="default"/>
          <w:pgSz w:w="11906" w:h="16838"/>
          <w:pgMar w:top="1440" w:right="1800" w:bottom="1440" w:left="1800" w:header="851" w:footer="992" w:gutter="0"/>
          <w:pgNumType w:fmt="decimal"/>
          <w:cols w:space="720" w:num="1"/>
          <w:docGrid w:type="lines" w:linePitch="312" w:charSpace="0"/>
        </w:sectPr>
      </w:pPr>
    </w:p>
    <w:p>
      <w:pPr>
        <w:pStyle w:val="2"/>
        <w:rPr>
          <w:rFonts w:hint="eastAsia" w:eastAsia="宋体"/>
          <w:lang w:eastAsia="zh-CN"/>
        </w:rPr>
        <w:sectPr>
          <w:pgSz w:w="16838" w:h="11906" w:orient="landscape"/>
          <w:pgMar w:top="1800" w:right="1440" w:bottom="1800" w:left="1440" w:header="851" w:footer="992" w:gutter="0"/>
          <w:pgNumType w:fmt="decimal"/>
          <w:cols w:space="720" w:num="1"/>
          <w:docGrid w:type="lines" w:linePitch="312" w:charSpace="0"/>
        </w:sectPr>
      </w:pPr>
      <w:r>
        <w:rPr>
          <w:rFonts w:hint="eastAsia" w:eastAsia="宋体"/>
          <w:lang w:eastAsia="zh-CN"/>
        </w:rPr>
        <w:drawing>
          <wp:inline distT="0" distB="0" distL="114300" distR="114300">
            <wp:extent cx="8584565" cy="5039360"/>
            <wp:effectExtent l="0" t="0" r="6985" b="8890"/>
            <wp:docPr id="46" name="图片 46" descr="第一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第一页"/>
                    <pic:cNvPicPr>
                      <a:picLocks noChangeAspect="1"/>
                    </pic:cNvPicPr>
                  </pic:nvPicPr>
                  <pic:blipFill>
                    <a:blip r:embed="rId26"/>
                    <a:stretch>
                      <a:fillRect/>
                    </a:stretch>
                  </pic:blipFill>
                  <pic:spPr>
                    <a:xfrm>
                      <a:off x="0" y="0"/>
                      <a:ext cx="8584565" cy="5039360"/>
                    </a:xfrm>
                    <a:prstGeom prst="rect">
                      <a:avLst/>
                    </a:prstGeom>
                  </pic:spPr>
                </pic:pic>
              </a:graphicData>
            </a:graphic>
          </wp:inline>
        </w:drawing>
      </w:r>
    </w:p>
    <w:p>
      <w:pPr>
        <w:pStyle w:val="3"/>
        <w:rPr>
          <w:rFonts w:hint="eastAsia"/>
          <w:lang w:eastAsia="zh-CN"/>
        </w:rPr>
        <w:sectPr>
          <w:pgSz w:w="16838" w:h="11906" w:orient="landscape"/>
          <w:pgMar w:top="1800" w:right="1440" w:bottom="1800" w:left="1440" w:header="851" w:footer="992" w:gutter="0"/>
          <w:pgNumType w:fmt="decimal"/>
          <w:cols w:space="720" w:num="1"/>
          <w:docGrid w:type="lines" w:linePitch="312" w:charSpace="0"/>
        </w:sectPr>
      </w:pPr>
      <w:r>
        <w:rPr>
          <w:rFonts w:hint="eastAsia"/>
          <w:lang w:eastAsia="zh-CN"/>
        </w:rPr>
        <w:drawing>
          <wp:inline distT="0" distB="0" distL="114300" distR="114300">
            <wp:extent cx="8529320" cy="5271135"/>
            <wp:effectExtent l="0" t="0" r="5080" b="5715"/>
            <wp:docPr id="47" name="图片 47" descr="第三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第三页"/>
                    <pic:cNvPicPr>
                      <a:picLocks noChangeAspect="1"/>
                    </pic:cNvPicPr>
                  </pic:nvPicPr>
                  <pic:blipFill>
                    <a:blip r:embed="rId27"/>
                    <a:stretch>
                      <a:fillRect/>
                    </a:stretch>
                  </pic:blipFill>
                  <pic:spPr>
                    <a:xfrm>
                      <a:off x="0" y="0"/>
                      <a:ext cx="8529320" cy="5271135"/>
                    </a:xfrm>
                    <a:prstGeom prst="rect">
                      <a:avLst/>
                    </a:prstGeom>
                  </pic:spPr>
                </pic:pic>
              </a:graphicData>
            </a:graphic>
          </wp:inline>
        </w:drawing>
      </w:r>
    </w:p>
    <w:p>
      <w:pPr>
        <w:pStyle w:val="3"/>
        <w:rPr>
          <w:rFonts w:hint="eastAsia"/>
          <w:lang w:eastAsia="zh-CN"/>
        </w:rPr>
        <w:sectPr>
          <w:pgSz w:w="16838" w:h="11906" w:orient="landscape"/>
          <w:pgMar w:top="1800" w:right="1440" w:bottom="1800" w:left="1440" w:header="851" w:footer="992" w:gutter="0"/>
          <w:pgNumType w:fmt="decimal"/>
          <w:cols w:space="720" w:num="1"/>
          <w:docGrid w:type="lines" w:linePitch="312" w:charSpace="0"/>
        </w:sectPr>
      </w:pPr>
      <w:r>
        <w:rPr>
          <w:rFonts w:hint="eastAsia"/>
          <w:lang w:eastAsia="zh-CN"/>
        </w:rPr>
        <w:drawing>
          <wp:inline distT="0" distB="0" distL="114300" distR="114300">
            <wp:extent cx="8420100" cy="5195570"/>
            <wp:effectExtent l="0" t="0" r="0" b="5080"/>
            <wp:docPr id="48" name="图片 48" descr="第二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第二页"/>
                    <pic:cNvPicPr>
                      <a:picLocks noChangeAspect="1"/>
                    </pic:cNvPicPr>
                  </pic:nvPicPr>
                  <pic:blipFill>
                    <a:blip r:embed="rId28"/>
                    <a:stretch>
                      <a:fillRect/>
                    </a:stretch>
                  </pic:blipFill>
                  <pic:spPr>
                    <a:xfrm>
                      <a:off x="0" y="0"/>
                      <a:ext cx="8420100" cy="5195570"/>
                    </a:xfrm>
                    <a:prstGeom prst="rect">
                      <a:avLst/>
                    </a:prstGeom>
                  </pic:spPr>
                </pic:pic>
              </a:graphicData>
            </a:graphic>
          </wp:inline>
        </w:drawing>
      </w:r>
    </w:p>
    <w:p>
      <w:pPr>
        <w:pStyle w:val="3"/>
      </w:pPr>
    </w:p>
    <w:p>
      <w:pPr>
        <w:pStyle w:val="5"/>
        <w:keepNext w:val="0"/>
        <w:keepLines w:val="0"/>
        <w:widowControl/>
        <w:spacing w:line="360" w:lineRule="auto"/>
        <w:contextualSpacing/>
        <w:jc w:val="left"/>
        <w:outlineLvl w:val="0"/>
        <w:rPr>
          <w:rFonts w:ascii="Times New Roman" w:hAnsi="Times New Roman"/>
          <w:b/>
          <w:kern w:val="0"/>
          <w:sz w:val="28"/>
          <w:szCs w:val="26"/>
        </w:rPr>
      </w:pPr>
      <w:bookmarkStart w:id="390" w:name="_Toc7341"/>
      <w:bookmarkStart w:id="391" w:name="_Toc13675"/>
      <w:bookmarkStart w:id="392" w:name="_Toc22288"/>
      <w:bookmarkStart w:id="393" w:name="_Toc995"/>
      <w:bookmarkStart w:id="394" w:name="_Toc2618"/>
      <w:bookmarkStart w:id="395" w:name="_Toc15663"/>
      <w:bookmarkStart w:id="396" w:name="_Toc13785"/>
      <w:bookmarkStart w:id="397" w:name="_Toc22273"/>
      <w:r>
        <w:rPr>
          <w:rFonts w:hint="eastAsia" w:ascii="Times New Roman" w:hAnsi="Times New Roman"/>
          <w:b/>
          <w:kern w:val="0"/>
          <w:sz w:val="28"/>
          <w:szCs w:val="26"/>
        </w:rPr>
        <w:t>4.3样品测试</w:t>
      </w:r>
      <w:bookmarkEnd w:id="387"/>
      <w:bookmarkEnd w:id="388"/>
      <w:bookmarkEnd w:id="389"/>
      <w:bookmarkEnd w:id="390"/>
      <w:bookmarkEnd w:id="391"/>
      <w:bookmarkEnd w:id="392"/>
      <w:bookmarkEnd w:id="393"/>
      <w:bookmarkEnd w:id="394"/>
      <w:bookmarkEnd w:id="395"/>
      <w:bookmarkEnd w:id="396"/>
      <w:bookmarkEnd w:id="397"/>
    </w:p>
    <w:p>
      <w:pPr>
        <w:spacing w:line="360" w:lineRule="auto"/>
        <w:ind w:firstLine="480" w:firstLineChars="200"/>
        <w:outlineLvl w:val="1"/>
        <w:rPr>
          <w:rFonts w:ascii="Times New Roman" w:hAnsi="宋体" w:eastAsia="Times New Roman"/>
          <w:b/>
          <w:sz w:val="24"/>
          <w:szCs w:val="24"/>
        </w:rPr>
      </w:pPr>
      <w:bookmarkStart w:id="398" w:name="_Toc29876"/>
      <w:bookmarkStart w:id="399" w:name="_Toc28384"/>
      <w:bookmarkStart w:id="400" w:name="_Toc25673275"/>
      <w:bookmarkStart w:id="401" w:name="_Toc7114"/>
      <w:bookmarkStart w:id="402" w:name="_Toc12920"/>
      <w:r>
        <w:rPr>
          <w:rFonts w:hint="eastAsia" w:ascii="Times New Roman" w:hAnsi="宋体" w:eastAsia="Times New Roman"/>
          <w:b/>
          <w:sz w:val="24"/>
          <w:szCs w:val="24"/>
        </w:rPr>
        <w:t>4.3.1测试项目</w:t>
      </w:r>
      <w:bookmarkEnd w:id="398"/>
      <w:bookmarkEnd w:id="399"/>
      <w:bookmarkEnd w:id="400"/>
      <w:bookmarkEnd w:id="401"/>
      <w:bookmarkEnd w:id="402"/>
    </w:p>
    <w:p>
      <w:pPr>
        <w:widowControl/>
        <w:spacing w:line="360" w:lineRule="auto"/>
        <w:ind w:firstLine="480" w:firstLineChars="200"/>
        <w:jc w:val="left"/>
        <w:rPr>
          <w:rFonts w:hAnsi="宋体"/>
          <w:sz w:val="24"/>
          <w:szCs w:val="24"/>
        </w:rPr>
      </w:pPr>
      <w:r>
        <w:rPr>
          <w:rFonts w:hint="eastAsia" w:hAnsi="宋体"/>
          <w:sz w:val="24"/>
          <w:szCs w:val="24"/>
        </w:rPr>
        <w:t>该地块为</w:t>
      </w:r>
      <w:r>
        <w:rPr>
          <w:rFonts w:hint="eastAsia" w:hAnsi="宋体"/>
          <w:sz w:val="24"/>
          <w:szCs w:val="24"/>
          <w:lang w:val="en-US" w:eastAsia="zh-CN"/>
        </w:rPr>
        <w:t>居住用地</w:t>
      </w:r>
      <w:r>
        <w:rPr>
          <w:rFonts w:hint="eastAsia" w:hAnsi="宋体"/>
          <w:sz w:val="24"/>
          <w:szCs w:val="24"/>
        </w:rPr>
        <w:t>，按照《土壤环境质量建设用地土壤污染风险管控标准（试行）》（GB36600—2018）的规定，设置建设用地土壤污染风险筛选值基本项目45项进行测试。该地块实际是曾经用于农业作业，结合农业行业可能的污染因子，加测项为pH值。详见表</w:t>
      </w:r>
      <w:r>
        <w:rPr>
          <w:rFonts w:hint="eastAsia" w:hAnsi="宋体"/>
          <w:sz w:val="24"/>
          <w:szCs w:val="24"/>
          <w:lang w:val="en-US" w:eastAsia="zh-CN"/>
        </w:rPr>
        <w:t>7</w:t>
      </w:r>
      <w:r>
        <w:rPr>
          <w:rFonts w:hint="eastAsia" w:hAnsi="宋体"/>
          <w:sz w:val="24"/>
          <w:szCs w:val="24"/>
        </w:rPr>
        <w:t>。</w:t>
      </w:r>
    </w:p>
    <w:p>
      <w:pPr>
        <w:widowControl/>
        <w:spacing w:line="360" w:lineRule="auto"/>
        <w:ind w:firstLine="482" w:firstLineChars="200"/>
        <w:jc w:val="center"/>
        <w:rPr>
          <w:rFonts w:hAnsi="宋体"/>
          <w:b/>
          <w:bCs/>
          <w:sz w:val="24"/>
          <w:szCs w:val="24"/>
        </w:rPr>
      </w:pPr>
      <w:r>
        <w:rPr>
          <w:rFonts w:hint="eastAsia" w:hAnsi="宋体"/>
          <w:b/>
          <w:bCs/>
          <w:sz w:val="24"/>
          <w:szCs w:val="24"/>
        </w:rPr>
        <w:t>表</w:t>
      </w:r>
      <w:r>
        <w:rPr>
          <w:rFonts w:hint="eastAsia" w:hAnsi="宋体"/>
          <w:b/>
          <w:bCs/>
          <w:sz w:val="24"/>
          <w:szCs w:val="24"/>
          <w:lang w:val="en-US" w:eastAsia="zh-CN"/>
        </w:rPr>
        <w:t>7</w:t>
      </w:r>
      <w:r>
        <w:rPr>
          <w:rFonts w:hint="eastAsia" w:hAnsi="宋体"/>
          <w:b/>
          <w:bCs/>
          <w:sz w:val="24"/>
          <w:szCs w:val="24"/>
        </w:rPr>
        <w:t xml:space="preserve"> 土壤样品测试项目一览表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ign w:val="center"/>
          </w:tcPr>
          <w:p>
            <w:pPr>
              <w:rPr>
                <w:rFonts w:hint="default" w:ascii="Times New Roman" w:hAnsi="Times New Roman" w:cs="Times New Roman"/>
              </w:rPr>
            </w:pPr>
            <w:r>
              <w:rPr>
                <w:rFonts w:hint="default" w:ascii="Times New Roman" w:hAnsi="Times New Roman" w:cs="Times New Roman"/>
              </w:rPr>
              <w:t>分类</w:t>
            </w:r>
          </w:p>
        </w:tc>
        <w:tc>
          <w:tcPr>
            <w:tcW w:w="6585" w:type="dxa"/>
            <w:noWrap/>
            <w:vAlign w:val="center"/>
          </w:tcPr>
          <w:p>
            <w:pPr>
              <w:rPr>
                <w:rFonts w:hint="default" w:ascii="Times New Roman" w:hAnsi="Times New Roman" w:cs="Times New Roman"/>
              </w:rPr>
            </w:pPr>
            <w:r>
              <w:rPr>
                <w:rFonts w:hint="default" w:ascii="Times New Roman" w:hAnsi="Times New Roman" w:cs="Times New Roman"/>
              </w:rPr>
              <w:t>测试项目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ign w:val="center"/>
          </w:tcPr>
          <w:p>
            <w:pPr>
              <w:rPr>
                <w:rFonts w:hint="default" w:ascii="Times New Roman" w:hAnsi="Times New Roman" w:cs="Times New Roman"/>
              </w:rPr>
            </w:pPr>
            <w:r>
              <w:rPr>
                <w:rFonts w:hint="default" w:ascii="Times New Roman" w:hAnsi="Times New Roman" w:cs="Times New Roman"/>
              </w:rPr>
              <w:t>重金属</w:t>
            </w:r>
          </w:p>
        </w:tc>
        <w:tc>
          <w:tcPr>
            <w:tcW w:w="6585" w:type="dxa"/>
            <w:noWrap/>
            <w:vAlign w:val="center"/>
          </w:tcPr>
          <w:p>
            <w:pPr>
              <w:rPr>
                <w:rFonts w:hint="default" w:ascii="Times New Roman" w:hAnsi="Times New Roman" w:cs="Times New Roman"/>
              </w:rPr>
            </w:pPr>
            <w:r>
              <w:rPr>
                <w:rFonts w:hint="default" w:ascii="Times New Roman" w:hAnsi="Times New Roman" w:cs="Times New Roman"/>
              </w:rPr>
              <w:t>砷、镉、六价铬、铜、铅、汞、镍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ign w:val="center"/>
          </w:tcPr>
          <w:p>
            <w:pPr>
              <w:rPr>
                <w:rFonts w:hint="default" w:ascii="Times New Roman" w:hAnsi="Times New Roman" w:cs="Times New Roman"/>
              </w:rPr>
            </w:pPr>
            <w:r>
              <w:rPr>
                <w:rFonts w:hint="default" w:ascii="Times New Roman" w:hAnsi="Times New Roman" w:cs="Times New Roman"/>
              </w:rPr>
              <w:t>挥发性有机物</w:t>
            </w:r>
          </w:p>
        </w:tc>
        <w:tc>
          <w:tcPr>
            <w:tcW w:w="6585" w:type="dxa"/>
            <w:noWrap/>
            <w:vAlign w:val="center"/>
          </w:tcPr>
          <w:p>
            <w:pPr>
              <w:rPr>
                <w:rFonts w:hint="default" w:ascii="Times New Roman" w:hAnsi="Times New Roman" w:cs="Times New Roman"/>
              </w:rPr>
            </w:pPr>
            <w:r>
              <w:rPr>
                <w:rFonts w:hint="default" w:ascii="Times New Roman" w:hAnsi="Times New Roman" w:cs="Times New Roman"/>
              </w:rPr>
              <w:t>四氯化碳、三氯甲烷、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ign w:val="center"/>
          </w:tcPr>
          <w:p>
            <w:pPr>
              <w:rPr>
                <w:rFonts w:hint="default" w:ascii="Times New Roman" w:hAnsi="Times New Roman" w:cs="Times New Roman"/>
              </w:rPr>
            </w:pPr>
            <w:r>
              <w:rPr>
                <w:rFonts w:hint="default" w:ascii="Times New Roman" w:hAnsi="Times New Roman" w:cs="Times New Roman"/>
              </w:rPr>
              <w:t>半挥发性有机物</w:t>
            </w:r>
          </w:p>
        </w:tc>
        <w:tc>
          <w:tcPr>
            <w:tcW w:w="6585" w:type="dxa"/>
            <w:noWrap/>
            <w:vAlign w:val="center"/>
          </w:tcPr>
          <w:p>
            <w:pPr>
              <w:rPr>
                <w:rFonts w:hint="default" w:ascii="Times New Roman" w:hAnsi="Times New Roman" w:cs="Times New Roman"/>
              </w:rPr>
            </w:pPr>
            <w:r>
              <w:rPr>
                <w:rFonts w:hint="default" w:ascii="Times New Roman" w:hAnsi="Times New Roman" w:cs="Times New Roman"/>
              </w:rPr>
              <w:t>硝基苯、苯胺、2-氯酚、苯并[a]蒽、苯并[a]芘、苯并[b]莹蒽、苯并[k]莹蒽、䓛、二苯并[a,h]蒽、茚并[1,2,3-cd]芘、萘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noWrap/>
            <w:vAlign w:val="center"/>
          </w:tcPr>
          <w:p>
            <w:pPr>
              <w:rPr>
                <w:rFonts w:hint="default" w:ascii="Times New Roman" w:hAnsi="Times New Roman" w:cs="Times New Roman"/>
              </w:rPr>
            </w:pPr>
            <w:r>
              <w:rPr>
                <w:rFonts w:hint="default" w:ascii="Times New Roman" w:hAnsi="Times New Roman" w:cs="Times New Roman"/>
              </w:rPr>
              <w:t>加测</w:t>
            </w:r>
          </w:p>
        </w:tc>
        <w:tc>
          <w:tcPr>
            <w:tcW w:w="6585" w:type="dxa"/>
            <w:noWrap/>
            <w:vAlign w:val="center"/>
          </w:tcPr>
          <w:p>
            <w:pPr>
              <w:rPr>
                <w:rFonts w:hint="default" w:ascii="Times New Roman" w:hAnsi="Times New Roman" w:cs="Times New Roman"/>
              </w:rPr>
            </w:pPr>
            <w:r>
              <w:rPr>
                <w:rFonts w:hint="default" w:ascii="Times New Roman" w:hAnsi="Times New Roman" w:cs="Times New Roman"/>
              </w:rPr>
              <w:t>pH值</w:t>
            </w:r>
          </w:p>
        </w:tc>
      </w:tr>
    </w:tbl>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地下水样品测试：本次地下水样品检测指标的设置是根据该厂生产环节的污染因子，结合《地下水质量标准》（GB/T 14848-2017）和《污染物排放标准》GB21900-2008相关规定设置，共计37个指标，详见表</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w:t>
      </w:r>
    </w:p>
    <w:p>
      <w:pPr>
        <w:widowControl/>
        <w:spacing w:line="240" w:lineRule="auto"/>
        <w:ind w:firstLine="422" w:firstLineChars="200"/>
        <w:jc w:val="center"/>
        <w:rPr>
          <w:rFonts w:hint="default" w:ascii="Times New Roman" w:hAnsi="Times New Roman" w:cs="Times New Roman"/>
          <w:b/>
          <w:bCs/>
          <w:sz w:val="21"/>
          <w:szCs w:val="21"/>
        </w:rPr>
      </w:pP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w:t>
      </w: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rPr>
        <w:t xml:space="preserve"> 水样测试项目一览表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6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noWrap/>
            <w:vAlign w:val="center"/>
          </w:tcPr>
          <w:p>
            <w:pPr>
              <w:rPr>
                <w:rFonts w:hint="default" w:ascii="Times New Roman" w:hAnsi="Times New Roman" w:cs="Times New Roman"/>
              </w:rPr>
            </w:pPr>
            <w:r>
              <w:rPr>
                <w:rFonts w:hint="default" w:ascii="Times New Roman" w:hAnsi="Times New Roman" w:cs="Times New Roman"/>
              </w:rPr>
              <w:t>类别</w:t>
            </w:r>
          </w:p>
        </w:tc>
        <w:tc>
          <w:tcPr>
            <w:tcW w:w="6741" w:type="dxa"/>
            <w:noWrap/>
          </w:tcPr>
          <w:p>
            <w:pPr>
              <w:rPr>
                <w:rFonts w:hint="default" w:ascii="Times New Roman" w:hAnsi="Times New Roman" w:cs="Times New Roman"/>
              </w:rPr>
            </w:pPr>
            <w:r>
              <w:rPr>
                <w:rFonts w:hint="default" w:ascii="Times New Roman" w:hAnsi="Times New Roman" w:cs="Times New Roman"/>
              </w:rPr>
              <w:t>测试项目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trPr>
        <w:tc>
          <w:tcPr>
            <w:tcW w:w="1668" w:type="dxa"/>
            <w:noWrap/>
            <w:vAlign w:val="center"/>
          </w:tcPr>
          <w:p>
            <w:pPr>
              <w:rPr>
                <w:rFonts w:hint="default" w:ascii="Times New Roman" w:hAnsi="Times New Roman" w:cs="Times New Roman"/>
              </w:rPr>
            </w:pPr>
            <w:r>
              <w:rPr>
                <w:rFonts w:hint="default" w:ascii="Times New Roman" w:hAnsi="Times New Roman" w:cs="Times New Roman"/>
              </w:rPr>
              <w:t>感官性状及一般化学指标</w:t>
            </w:r>
          </w:p>
        </w:tc>
        <w:tc>
          <w:tcPr>
            <w:tcW w:w="6741" w:type="dxa"/>
            <w:noWrap/>
            <w:vAlign w:val="center"/>
          </w:tcPr>
          <w:p>
            <w:pPr>
              <w:rPr>
                <w:rFonts w:hint="default" w:ascii="Times New Roman" w:hAnsi="Times New Roman" w:cs="Times New Roman"/>
              </w:rPr>
            </w:pPr>
            <w:r>
              <w:rPr>
                <w:rFonts w:hint="default" w:ascii="Times New Roman" w:hAnsi="Times New Roman" w:cs="Times New Roman"/>
              </w:rPr>
              <w:t>色、嗅和味、浑浊度、肉眼可见物、pH值、总硬度、溶解性总固体、硫酸盐、氯化物、铁、锰、铜、锌、铝、挥发性酚类、阴离子表面活性剂、耗氧量、硫化物、钠、氨氮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668" w:type="dxa"/>
            <w:noWrap/>
            <w:vAlign w:val="center"/>
          </w:tcPr>
          <w:p>
            <w:pPr>
              <w:rPr>
                <w:rFonts w:hint="default" w:ascii="Times New Roman" w:hAnsi="Times New Roman" w:cs="Times New Roman"/>
              </w:rPr>
            </w:pPr>
            <w:r>
              <w:rPr>
                <w:rFonts w:hint="default" w:ascii="Times New Roman" w:hAnsi="Times New Roman" w:cs="Times New Roman"/>
              </w:rPr>
              <w:t>毒理学指标</w:t>
            </w:r>
          </w:p>
        </w:tc>
        <w:tc>
          <w:tcPr>
            <w:tcW w:w="6741" w:type="dxa"/>
            <w:noWrap/>
            <w:vAlign w:val="center"/>
          </w:tcPr>
          <w:p>
            <w:pPr>
              <w:rPr>
                <w:rFonts w:hint="default" w:ascii="Times New Roman" w:hAnsi="Times New Roman" w:cs="Times New Roman"/>
              </w:rPr>
            </w:pPr>
            <w:r>
              <w:rPr>
                <w:rFonts w:hint="default" w:ascii="Times New Roman" w:hAnsi="Times New Roman" w:cs="Times New Roman"/>
              </w:rPr>
              <w:t>亚硝酸盐、硝酸盐、碘化物、汞、总砷、镉、六价铬、总铅、总硒、氟化物、氰化物、三氯甲烷、四氯化碳、苯、甲苯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668" w:type="dxa"/>
            <w:noWrap/>
            <w:vAlign w:val="center"/>
          </w:tcPr>
          <w:p>
            <w:pPr>
              <w:rPr>
                <w:rFonts w:hint="default" w:ascii="Times New Roman" w:hAnsi="Times New Roman" w:cs="Times New Roman"/>
              </w:rPr>
            </w:pPr>
            <w:r>
              <w:rPr>
                <w:rFonts w:hint="default" w:ascii="Times New Roman" w:hAnsi="Times New Roman" w:cs="Times New Roman"/>
              </w:rPr>
              <w:t>微生物指标</w:t>
            </w:r>
          </w:p>
        </w:tc>
        <w:tc>
          <w:tcPr>
            <w:tcW w:w="6741" w:type="dxa"/>
            <w:noWrap/>
            <w:vAlign w:val="center"/>
          </w:tcPr>
          <w:p>
            <w:pPr>
              <w:rPr>
                <w:rFonts w:hint="default" w:ascii="Times New Roman" w:hAnsi="Times New Roman" w:cs="Times New Roman"/>
              </w:rPr>
            </w:pPr>
            <w:r>
              <w:rPr>
                <w:rFonts w:hint="default" w:ascii="Times New Roman" w:hAnsi="Times New Roman" w:cs="Times New Roman"/>
              </w:rPr>
              <w:t>总大肠菌群、菌落总数</w:t>
            </w:r>
          </w:p>
        </w:tc>
      </w:tr>
    </w:tbl>
    <w:p>
      <w:pPr>
        <w:spacing w:beforeLines="50" w:afterLines="50"/>
        <w:outlineLvl w:val="1"/>
        <w:rPr>
          <w:rFonts w:hint="default" w:ascii="Times New Roman" w:hAnsi="Times New Roman" w:cs="Times New Roman"/>
          <w:b/>
          <w:color w:val="000000"/>
          <w:sz w:val="24"/>
          <w:szCs w:val="24"/>
        </w:rPr>
      </w:pPr>
      <w:bookmarkStart w:id="403" w:name="_Toc9374"/>
      <w:bookmarkStart w:id="404" w:name="_Toc6030"/>
      <w:bookmarkStart w:id="405" w:name="_Toc21983"/>
      <w:bookmarkStart w:id="406" w:name="_Toc2613"/>
      <w:r>
        <w:rPr>
          <w:rFonts w:hint="default" w:ascii="Times New Roman" w:hAnsi="Times New Roman" w:cs="Times New Roman"/>
          <w:b/>
          <w:color w:val="000000"/>
          <w:sz w:val="24"/>
          <w:szCs w:val="24"/>
        </w:rPr>
        <w:t>4.3.2测试单位及方法</w:t>
      </w:r>
      <w:bookmarkEnd w:id="403"/>
      <w:bookmarkEnd w:id="404"/>
      <w:bookmarkEnd w:id="405"/>
      <w:bookmarkEnd w:id="406"/>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本次调查分析测试选择有相关资质及信誉良好的河南摩尔检测有限公司进行土壤样品、地下水样、平行空白样的检测。测试实验室资质详见附件5。</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根据《土壤环境质量建设用地土壤环境污染风险管控标准GB36600-2018》的规定，本次土壤样品测试项目的测试方法依据表</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进行测试。</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w:t>
      </w:r>
      <w:r>
        <w:rPr>
          <w:rFonts w:hint="eastAsia" w:ascii="Times New Roman" w:hAnsi="Times New Roman" w:cs="Times New Roman"/>
          <w:b/>
          <w:bCs/>
          <w:sz w:val="24"/>
          <w:szCs w:val="24"/>
          <w:lang w:val="en-US" w:eastAsia="zh-CN"/>
        </w:rPr>
        <w:t>9</w:t>
      </w:r>
      <w:r>
        <w:rPr>
          <w:rFonts w:hint="default" w:ascii="Times New Roman" w:hAnsi="Times New Roman" w:cs="Times New Roman"/>
          <w:b/>
          <w:bCs/>
          <w:sz w:val="24"/>
          <w:szCs w:val="24"/>
        </w:rPr>
        <w:t xml:space="preserve"> 土壤实验室化学分析方案（单位：mg/kg、氯甲烷μg/kg）</w:t>
      </w:r>
    </w:p>
    <w:tbl>
      <w:tblPr>
        <w:tblStyle w:val="9"/>
        <w:tblW w:w="8806"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194"/>
        <w:gridCol w:w="4082"/>
        <w:gridCol w:w="2205"/>
        <w:gridCol w:w="757"/>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569" w:type="dxa"/>
            <w:tcBorders>
              <w:top w:val="single" w:color="auto" w:sz="4" w:space="0"/>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序号</w:t>
            </w:r>
          </w:p>
        </w:tc>
        <w:tc>
          <w:tcPr>
            <w:tcW w:w="1194" w:type="dxa"/>
            <w:tcBorders>
              <w:top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bCs/>
                <w:sz w:val="24"/>
                <w:szCs w:val="24"/>
              </w:rPr>
              <w:t>检测项目</w:t>
            </w:r>
          </w:p>
        </w:tc>
        <w:tc>
          <w:tcPr>
            <w:tcW w:w="4082" w:type="dxa"/>
            <w:tcBorders>
              <w:top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bCs/>
                <w:sz w:val="24"/>
                <w:szCs w:val="24"/>
              </w:rPr>
              <w:t>分析方法</w:t>
            </w:r>
          </w:p>
        </w:tc>
        <w:tc>
          <w:tcPr>
            <w:tcW w:w="2205" w:type="dxa"/>
            <w:tcBorders>
              <w:top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eastAsiaTheme="minorEastAsia"/>
                <w:sz w:val="24"/>
                <w:szCs w:val="24"/>
              </w:rPr>
            </w:pPr>
            <w:r>
              <w:rPr>
                <w:rFonts w:hint="default" w:ascii="Times New Roman" w:hAnsi="Times New Roman" w:cs="Times New Roman"/>
                <w:bCs/>
                <w:sz w:val="24"/>
                <w:szCs w:val="24"/>
              </w:rPr>
              <w:t>仪器名称及型号</w:t>
            </w:r>
          </w:p>
        </w:tc>
        <w:tc>
          <w:tcPr>
            <w:tcW w:w="756" w:type="dxa"/>
            <w:tcBorders>
              <w:top w:val="single" w:color="auto" w:sz="4" w:space="0"/>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eastAsiaTheme="minorEastAsia"/>
                <w:sz w:val="24"/>
                <w:szCs w:val="24"/>
              </w:rPr>
            </w:pPr>
            <w:r>
              <w:rPr>
                <w:rFonts w:hint="default" w:ascii="Times New Roman" w:hAnsi="Times New Roman" w:cs="Times New Roman"/>
                <w:bCs/>
                <w:sz w:val="24"/>
                <w:szCs w:val="24"/>
              </w:rPr>
              <w:t>检出限或最低检出浓度</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铜</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土壤和沉积物铜、锌、铅、镍、铬的测定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火焰原子吸收分光光度法HJ491-2019</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原子吸收分光光度计TAS-990F</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六价铬</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土壤和沉积物六价铬的测定碱溶液提取-火焰原子吸收分光光度法HJ1082-2019</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原子吸收分光光度计TAS-990F</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0.5mg/kg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铅</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土壤和沉积物铜、锌、铅、镍、铬的测定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火焰原子吸收分光光度法HJ491-2019</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原子吸收分光光度计TAS-990F</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10mg/kg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镉</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土壤质量铅、镉的测定石墨炉原子吸收分光光度法GB/T17141-1997</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原子吸收分光光度计TAS-990G</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0.010mg/kg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5</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镍</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土壤和沉积物铜、锌、铅、镍、铬的测定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火焰原子吸收分光光度法HJ491-2019</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原子吸收分光光度计TAS-990F</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3mg/kg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6</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砷</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土壤及沉积物汞、砷、硒、铋和锑的测定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微波消解/原子荧光法HJ680-2013</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非色散原子荧光光度计PF6-1</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0.01mg/kg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7</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汞</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土壤及沉积物汞、砷、硒、铋和锑的测定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微波消解/原子荧光法HJ680-2013</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非色散原子荧光光度计PF6-1</w:t>
            </w:r>
          </w:p>
        </w:tc>
        <w:tc>
          <w:tcPr>
            <w:tcW w:w="756"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0.002mg/kg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8</w:t>
            </w:r>
          </w:p>
        </w:tc>
        <w:tc>
          <w:tcPr>
            <w:tcW w:w="1194" w:type="dxa"/>
            <w:tcBorders>
              <w:tl2br w:val="nil"/>
              <w:tr2bl w:val="nil"/>
            </w:tcBorders>
            <w:tcMar>
              <w:top w:w="0" w:type="dxa"/>
              <w:left w:w="0" w:type="dxa"/>
              <w:bottom w:w="0" w:type="dxa"/>
              <w:right w:w="0" w:type="dxa"/>
            </w:tcMar>
            <w:vAlign w:val="center"/>
          </w:tcPr>
          <w:p>
            <w:pPr>
              <w:pStyle w:val="12"/>
              <w:overflowPunct w:val="0"/>
              <w:snapToGrid w:val="0"/>
              <w:spacing w:line="260" w:lineRule="exact"/>
              <w:rPr>
                <w:rFonts w:hint="default" w:ascii="Times New Roman" w:hAnsi="Times New Roman" w:cs="Times New Roman"/>
                <w:sz w:val="24"/>
                <w:szCs w:val="24"/>
              </w:rPr>
            </w:pPr>
            <w:r>
              <w:rPr>
                <w:rFonts w:hint="default" w:ascii="Times New Roman" w:hAnsi="Times New Roman" w:cs="Times New Roman"/>
                <w:sz w:val="24"/>
                <w:szCs w:val="24"/>
              </w:rPr>
              <w:t>四氯化碳</w:t>
            </w:r>
          </w:p>
        </w:tc>
        <w:tc>
          <w:tcPr>
            <w:tcW w:w="4082" w:type="dxa"/>
            <w:tcBorders>
              <w:tl2br w:val="nil"/>
              <w:tr2bl w:val="nil"/>
            </w:tcBorders>
            <w:tcMar>
              <w:top w:w="0" w:type="dxa"/>
              <w:left w:w="0" w:type="dxa"/>
              <w:bottom w:w="0" w:type="dxa"/>
              <w:right w:w="0" w:type="dxa"/>
            </w:tcMar>
            <w:vAlign w:val="center"/>
          </w:tcPr>
          <w:p>
            <w:pPr>
              <w:overflowPunct w:val="0"/>
              <w:adjustRightInd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adjustRightInd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spacing w:line="260" w:lineRule="exact"/>
              <w:jc w:val="center"/>
              <w:rPr>
                <w:rFonts w:hint="default" w:ascii="Times New Roman" w:hAnsi="Times New Roman" w:cs="Times New Roman"/>
                <w:sz w:val="24"/>
                <w:szCs w:val="24"/>
              </w:rPr>
            </w:pPr>
            <w:r>
              <w:rPr>
                <w:rFonts w:hint="default" w:ascii="Times New Roman" w:hAnsi="Times New Roman" w:cs="Times New Roman"/>
                <w:bCs/>
                <w:sz w:val="24"/>
                <w:szCs w:val="24"/>
              </w:rPr>
              <w:t>1.3μg/kg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9</w:t>
            </w:r>
          </w:p>
        </w:tc>
        <w:tc>
          <w:tcPr>
            <w:tcW w:w="1194" w:type="dxa"/>
            <w:tcBorders>
              <w:tl2br w:val="nil"/>
              <w:tr2bl w:val="nil"/>
            </w:tcBorders>
            <w:tcMar>
              <w:top w:w="0" w:type="dxa"/>
              <w:left w:w="0" w:type="dxa"/>
              <w:bottom w:w="0" w:type="dxa"/>
              <w:right w:w="0" w:type="dxa"/>
            </w:tcMar>
            <w:vAlign w:val="center"/>
          </w:tcPr>
          <w:p>
            <w:pPr>
              <w:pStyle w:val="12"/>
              <w:overflowPunct w:val="0"/>
              <w:snapToGrid w:val="0"/>
              <w:spacing w:line="260" w:lineRule="exact"/>
              <w:rPr>
                <w:rFonts w:hint="default" w:ascii="Times New Roman" w:hAnsi="Times New Roman" w:cs="Times New Roman"/>
                <w:sz w:val="24"/>
                <w:szCs w:val="24"/>
              </w:rPr>
            </w:pPr>
            <w:r>
              <w:rPr>
                <w:rFonts w:hint="default" w:ascii="Times New Roman" w:hAnsi="Times New Roman" w:cs="Times New Roman"/>
                <w:sz w:val="24"/>
                <w:szCs w:val="24"/>
              </w:rPr>
              <w:t>三氯甲烷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1.1μg/kg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10</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氯甲烷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1.0μg/kg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11</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1,1-二氯乙烷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12</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1,2-二氯乙烷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topLinePunct/>
              <w:snapToGrid w:val="0"/>
              <w:spacing w:line="260" w:lineRule="exact"/>
              <w:jc w:val="center"/>
              <w:rPr>
                <w:rFonts w:hint="default" w:ascii="Times New Roman" w:hAnsi="Times New Roman" w:cs="Times New Roman"/>
                <w:bCs/>
                <w:sz w:val="24"/>
                <w:szCs w:val="24"/>
              </w:rPr>
            </w:pPr>
            <w:r>
              <w:rPr>
                <w:rFonts w:hint="default" w:ascii="Times New Roman" w:hAnsi="Times New Roman" w:cs="Times New Roman"/>
                <w:bCs/>
                <w:sz w:val="24"/>
                <w:szCs w:val="24"/>
              </w:rPr>
              <w:t>1.3μg/kg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13</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1,1-二氯乙烯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topLinePunct/>
              <w:snapToGrid w:val="0"/>
              <w:spacing w:line="300" w:lineRule="exact"/>
              <w:jc w:val="center"/>
              <w:rPr>
                <w:rFonts w:hint="default" w:ascii="Times New Roman" w:hAnsi="Times New Roman" w:cs="Times New Roman"/>
                <w:sz w:val="24"/>
                <w:szCs w:val="24"/>
              </w:rPr>
            </w:pPr>
            <w:r>
              <w:rPr>
                <w:rFonts w:hint="default" w:ascii="Times New Roman" w:hAnsi="Times New Roman" w:cs="Times New Roman"/>
                <w:bCs/>
                <w:sz w:val="24"/>
                <w:szCs w:val="24"/>
              </w:rPr>
              <w:t>1.0μg/kg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14</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顺-1,2-二氯乙烯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15</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反-1,2-二氯乙烯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1.4μg/kg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16</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二氯甲烷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1.5μg/kg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17</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1,2-二氯丙烷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1.1μg/kg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18</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1,1,1,2-四氯乙烷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19</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1,1,2,2-四氯乙烷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20</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四氯乙烯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1.4μg/kg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21</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1,1,1-三氯乙烷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22</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1,1,2-三氯乙烷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23</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三氯乙烯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1"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24</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1,2,3-三氯丙烷</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25</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1.0μg/kg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26</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1.9μg/kg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27</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氯苯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28</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1,2-二氯苯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1.5μg/kg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29</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1,4-二氯苯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1.5μg/kg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30</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乙苯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31</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苯乙烯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1.1μg/kg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32</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甲苯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33</w:t>
            </w:r>
          </w:p>
        </w:tc>
        <w:tc>
          <w:tcPr>
            <w:tcW w:w="1194" w:type="dxa"/>
            <w:tcBorders>
              <w:tl2br w:val="nil"/>
              <w:tr2bl w:val="nil"/>
            </w:tcBorders>
            <w:tcMar>
              <w:top w:w="0" w:type="dxa"/>
              <w:left w:w="0" w:type="dxa"/>
              <w:bottom w:w="0" w:type="dxa"/>
              <w:right w:w="0" w:type="dxa"/>
            </w:tcMar>
            <w:vAlign w:val="center"/>
          </w:tcPr>
          <w:p>
            <w:pPr>
              <w:spacing w:line="360" w:lineRule="exact"/>
              <w:jc w:val="center"/>
              <w:rPr>
                <w:rFonts w:hint="default" w:ascii="Times New Roman" w:hAnsi="Times New Roman" w:cs="Times New Roman"/>
                <w:sz w:val="24"/>
                <w:szCs w:val="24"/>
              </w:rPr>
            </w:pPr>
            <w:r>
              <w:rPr>
                <w:rFonts w:hint="default" w:ascii="Times New Roman" w:hAnsi="Times New Roman" w:cs="Times New Roman"/>
                <w:sz w:val="24"/>
                <w:szCs w:val="24"/>
              </w:rPr>
              <w:t>间+对二甲苯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34</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邻二甲苯</w:t>
            </w:r>
          </w:p>
        </w:tc>
        <w:tc>
          <w:tcPr>
            <w:tcW w:w="4082"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土壤和沉积物挥发性有机物的测定</w:t>
            </w:r>
          </w:p>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吹扫捕集/气相色谱-质谱法HJ605-2011</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1.2μg/kg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35</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硝基苯</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土壤和沉积物半挥发性有机物的测定</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气相色谱-质谱法HJ834-2017</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0.09mg/kg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36</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苯胺</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土壤和沉积物半挥发性有机物的测定</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气相色谱-质谱法HJ834-2017</w:t>
            </w:r>
          </w:p>
        </w:tc>
        <w:tc>
          <w:tcPr>
            <w:tcW w:w="2205"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气相色谱-质谱仪GC7890B-MS5977B</w:t>
            </w:r>
          </w:p>
        </w:tc>
        <w:tc>
          <w:tcPr>
            <w:tcW w:w="756"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bCs/>
                <w:sz w:val="24"/>
                <w:szCs w:val="24"/>
              </w:rPr>
            </w:pPr>
            <w:r>
              <w:rPr>
                <w:rFonts w:hint="default" w:ascii="Times New Roman" w:hAnsi="Times New Roman" w:cs="Times New Roman"/>
                <w:bCs/>
                <w:sz w:val="24"/>
                <w:szCs w:val="24"/>
              </w:rPr>
              <w:t>0.09mg/kg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37</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2-氯酚</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土壤和沉积物酚类化合物的测定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气相色谱法HJ703-2014</w:t>
            </w:r>
          </w:p>
        </w:tc>
        <w:tc>
          <w:tcPr>
            <w:tcW w:w="220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气相色谱仪</w:t>
            </w:r>
          </w:p>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GC 2010 Pro</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0.04mg/kg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38</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苯并[a]蒽</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39</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苯并[a]芘</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0.4μg/kg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40</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苯并[b]荧蒽</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0.5μg/kg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41</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苯并[k]荧蒽</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0.4μg/kg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42</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䓛</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43</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二苯并[a,h]蒽</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0.5μg/kg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44</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茚并[1,2,3-cd]芘</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0.5μg/kg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569"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45</w:t>
            </w:r>
          </w:p>
        </w:tc>
        <w:tc>
          <w:tcPr>
            <w:tcW w:w="1194"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萘</w:t>
            </w:r>
          </w:p>
        </w:tc>
        <w:tc>
          <w:tcPr>
            <w:tcW w:w="4082"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土壤和沉积物多环芳烃的测定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高效液相色谱法HJ784-2016</w:t>
            </w:r>
          </w:p>
        </w:tc>
        <w:tc>
          <w:tcPr>
            <w:tcW w:w="2204" w:type="dxa"/>
            <w:tcBorders>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液相色谱仪1220VL</w:t>
            </w:r>
          </w:p>
        </w:tc>
        <w:tc>
          <w:tcPr>
            <w:tcW w:w="757"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sz w:val="24"/>
                <w:szCs w:val="24"/>
              </w:rPr>
            </w:pPr>
            <w:r>
              <w:rPr>
                <w:rFonts w:hint="default" w:ascii="Times New Roman" w:hAnsi="Times New Roman" w:cs="Times New Roman"/>
                <w:bCs/>
                <w:sz w:val="24"/>
                <w:szCs w:val="24"/>
              </w:rPr>
              <w:t>3μg/kg</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569" w:type="dxa"/>
            <w:tcBorders>
              <w:left w:val="single" w:color="auto" w:sz="4" w:space="0"/>
              <w:bottom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46</w:t>
            </w:r>
          </w:p>
        </w:tc>
        <w:tc>
          <w:tcPr>
            <w:tcW w:w="1194" w:type="dxa"/>
            <w:tcBorders>
              <w:bottom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pH</w:t>
            </w:r>
          </w:p>
        </w:tc>
        <w:tc>
          <w:tcPr>
            <w:tcW w:w="4082" w:type="dxa"/>
            <w:tcBorders>
              <w:bottom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土壤pH值的测定电位法HJ962-2018</w:t>
            </w:r>
          </w:p>
        </w:tc>
        <w:tc>
          <w:tcPr>
            <w:tcW w:w="2204" w:type="dxa"/>
            <w:tcBorders>
              <w:bottom w:val="single" w:color="auto" w:sz="4" w:space="0"/>
              <w:tl2br w:val="nil"/>
              <w:tr2bl w:val="nil"/>
            </w:tcBorders>
            <w:tcMar>
              <w:top w:w="0" w:type="dxa"/>
              <w:left w:w="0" w:type="dxa"/>
              <w:bottom w:w="0" w:type="dxa"/>
              <w:right w:w="0" w:type="dxa"/>
            </w:tcMar>
            <w:vAlign w:val="center"/>
          </w:tcPr>
          <w:p>
            <w:pPr>
              <w:pStyle w:val="12"/>
              <w:overflowPunct w:val="0"/>
              <w:topLinePunct/>
              <w:adjustRightInd w:val="0"/>
              <w:snapToGrid w:val="0"/>
              <w:textAlignment w:val="baseline"/>
              <w:rPr>
                <w:rFonts w:hint="default" w:ascii="Times New Roman" w:hAnsi="Times New Roman" w:cs="Times New Roman"/>
                <w:sz w:val="24"/>
                <w:szCs w:val="24"/>
              </w:rPr>
            </w:pPr>
            <w:r>
              <w:rPr>
                <w:rFonts w:hint="default" w:ascii="Times New Roman" w:hAnsi="Times New Roman" w:cs="Times New Roman"/>
                <w:sz w:val="24"/>
                <w:szCs w:val="24"/>
              </w:rPr>
              <w:t>酸度计</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PHSJ-5</w:t>
            </w:r>
          </w:p>
        </w:tc>
        <w:tc>
          <w:tcPr>
            <w:tcW w:w="757" w:type="dxa"/>
            <w:tcBorders>
              <w:bottom w:val="single" w:color="auto" w:sz="4" w:space="0"/>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w:t>
            </w:r>
          </w:p>
        </w:tc>
      </w:tr>
    </w:tbl>
    <w:p>
      <w:pPr>
        <w:widowControl/>
        <w:spacing w:line="360" w:lineRule="auto"/>
        <w:jc w:val="left"/>
        <w:rPr>
          <w:rFonts w:hint="default" w:ascii="Times New Roman" w:hAnsi="Times New Roman" w:cs="Times New Roman"/>
          <w:sz w:val="24"/>
          <w:szCs w:val="24"/>
        </w:rPr>
      </w:pPr>
      <w:r>
        <w:rPr>
          <w:rFonts w:hint="default" w:ascii="Times New Roman" w:hAnsi="Times New Roman" w:cs="Times New Roman"/>
          <w:sz w:val="24"/>
          <w:szCs w:val="24"/>
        </w:rPr>
        <w:t>地下水样品测试项目的测试方法按照《地下水质量标准》（GB/T 14848-2017）推荐的方法进行测试，详见表</w:t>
      </w: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0。</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w:t>
      </w:r>
      <w:r>
        <w:rPr>
          <w:rFonts w:hint="default" w:ascii="Times New Roman" w:hAnsi="Times New Roman" w:cs="Times New Roman"/>
          <w:b/>
          <w:bCs/>
          <w:sz w:val="24"/>
          <w:szCs w:val="24"/>
          <w:lang w:val="en-US" w:eastAsia="zh-CN"/>
        </w:rPr>
        <w:t>1</w:t>
      </w:r>
      <w:r>
        <w:rPr>
          <w:rFonts w:hint="eastAsia" w:ascii="Times New Roman" w:hAnsi="Times New Roman" w:cs="Times New Roman"/>
          <w:b/>
          <w:bCs/>
          <w:sz w:val="24"/>
          <w:szCs w:val="24"/>
          <w:lang w:val="en-US" w:eastAsia="zh-CN"/>
        </w:rPr>
        <w:t>0</w:t>
      </w:r>
      <w:r>
        <w:rPr>
          <w:rFonts w:hint="default" w:ascii="Times New Roman" w:hAnsi="Times New Roman" w:cs="Times New Roman"/>
          <w:b/>
          <w:bCs/>
          <w:sz w:val="24"/>
          <w:szCs w:val="24"/>
        </w:rPr>
        <w:t xml:space="preserve"> 地下水检测指标分析方法</w:t>
      </w:r>
    </w:p>
    <w:tbl>
      <w:tblPr>
        <w:tblStyle w:val="9"/>
        <w:tblW w:w="8990"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4"/>
        <w:gridCol w:w="1275"/>
        <w:gridCol w:w="4335"/>
        <w:gridCol w:w="1816"/>
        <w:gridCol w:w="94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624" w:type="dxa"/>
            <w:tcBorders>
              <w:top w:val="single" w:color="auto" w:sz="4" w:space="0"/>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bookmarkStart w:id="407" w:name="_Toc25673288"/>
            <w:r>
              <w:rPr>
                <w:rFonts w:hint="default" w:ascii="Times New Roman" w:hAnsi="Times New Roman" w:cs="Times New Roman"/>
                <w:bCs/>
                <w:sz w:val="24"/>
                <w:szCs w:val="24"/>
              </w:rPr>
              <w:t>序号</w:t>
            </w:r>
          </w:p>
        </w:tc>
        <w:tc>
          <w:tcPr>
            <w:tcW w:w="1275" w:type="dxa"/>
            <w:tcBorders>
              <w:top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bCs/>
                <w:sz w:val="24"/>
                <w:szCs w:val="24"/>
              </w:rPr>
              <w:t>检测项目</w:t>
            </w:r>
          </w:p>
        </w:tc>
        <w:tc>
          <w:tcPr>
            <w:tcW w:w="4335" w:type="dxa"/>
            <w:tcBorders>
              <w:top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bCs/>
                <w:sz w:val="24"/>
                <w:szCs w:val="24"/>
              </w:rPr>
              <w:t>分析方法</w:t>
            </w:r>
          </w:p>
        </w:tc>
        <w:tc>
          <w:tcPr>
            <w:tcW w:w="1816" w:type="dxa"/>
            <w:tcBorders>
              <w:top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eastAsiaTheme="minorEastAsia"/>
                <w:sz w:val="24"/>
                <w:szCs w:val="24"/>
              </w:rPr>
            </w:pPr>
            <w:r>
              <w:rPr>
                <w:rFonts w:hint="default" w:ascii="Times New Roman" w:hAnsi="Times New Roman" w:cs="Times New Roman"/>
                <w:bCs/>
                <w:sz w:val="24"/>
                <w:szCs w:val="24"/>
              </w:rPr>
              <w:t>仪器名称及型号</w:t>
            </w:r>
          </w:p>
        </w:tc>
        <w:tc>
          <w:tcPr>
            <w:tcW w:w="940" w:type="dxa"/>
            <w:tcBorders>
              <w:top w:val="single" w:color="auto" w:sz="4" w:space="0"/>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eastAsiaTheme="minorEastAsia"/>
                <w:sz w:val="24"/>
                <w:szCs w:val="24"/>
              </w:rPr>
            </w:pPr>
            <w:r>
              <w:rPr>
                <w:rFonts w:hint="default" w:ascii="Times New Roman" w:hAnsi="Times New Roman" w:cs="Times New Roman"/>
                <w:bCs/>
                <w:sz w:val="24"/>
                <w:szCs w:val="24"/>
              </w:rPr>
              <w:t>检出限或最低检出浓度</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pH值</w:t>
            </w:r>
          </w:p>
        </w:tc>
        <w:tc>
          <w:tcPr>
            <w:tcW w:w="4335" w:type="dxa"/>
            <w:tcBorders>
              <w:tl2br w:val="nil"/>
              <w:tr2bl w:val="nil"/>
            </w:tcBorders>
            <w:tcMar>
              <w:top w:w="0" w:type="dxa"/>
              <w:left w:w="0" w:type="dxa"/>
              <w:bottom w:w="0" w:type="dxa"/>
              <w:right w:w="0" w:type="dxa"/>
            </w:tcMar>
            <w:vAlign w:val="center"/>
          </w:tcPr>
          <w:p>
            <w:pPr>
              <w:overflowPunct w:val="0"/>
              <w:adjustRightInd w:val="0"/>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水质pH值的测定</w:t>
            </w:r>
          </w:p>
          <w:p>
            <w:pPr>
              <w:overflowPunct w:val="0"/>
              <w:adjustRightInd w:val="0"/>
              <w:snapToGrid w:val="0"/>
              <w:jc w:val="center"/>
              <w:rPr>
                <w:rFonts w:hint="default" w:ascii="Times New Roman" w:hAnsi="Times New Roman" w:cs="Times New Roman"/>
                <w:bCs/>
                <w:sz w:val="24"/>
                <w:szCs w:val="24"/>
              </w:rPr>
            </w:pPr>
            <w:r>
              <w:rPr>
                <w:rFonts w:hint="default" w:ascii="Times New Roman" w:hAnsi="Times New Roman" w:cs="Times New Roman"/>
                <w:sz w:val="24"/>
                <w:szCs w:val="24"/>
              </w:rPr>
              <w:t>玻璃电极法GB6920-1986</w:t>
            </w:r>
          </w:p>
        </w:tc>
        <w:tc>
          <w:tcPr>
            <w:tcW w:w="1816" w:type="dxa"/>
            <w:tcBorders>
              <w:tl2br w:val="nil"/>
              <w:tr2bl w:val="nil"/>
            </w:tcBorders>
            <w:tcMar>
              <w:top w:w="0" w:type="dxa"/>
              <w:left w:w="0" w:type="dxa"/>
              <w:bottom w:w="0" w:type="dxa"/>
              <w:right w:w="0" w:type="dxa"/>
            </w:tcMar>
            <w:vAlign w:val="center"/>
          </w:tcPr>
          <w:p>
            <w:pPr>
              <w:jc w:val="center"/>
              <w:rPr>
                <w:rFonts w:hint="default" w:ascii="Times New Roman" w:hAnsi="Times New Roman" w:cs="Times New Roman"/>
                <w:color w:val="000000"/>
                <w:sz w:val="24"/>
                <w:szCs w:val="24"/>
              </w:rPr>
            </w:pPr>
            <w:r>
              <w:rPr>
                <w:rFonts w:hint="default" w:ascii="Times New Roman" w:hAnsi="Times New Roman" w:cs="Times New Roman"/>
                <w:sz w:val="24"/>
                <w:szCs w:val="24"/>
              </w:rPr>
              <w:t>pH计PHS-3C</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氯化物</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水质无机阴离子的测定离子色谱法</w:t>
            </w:r>
            <w:r>
              <w:rPr>
                <w:rFonts w:hint="default" w:ascii="Times New Roman" w:hAnsi="Times New Roman" w:cs="Times New Roman"/>
                <w:bCs/>
                <w:sz w:val="24"/>
                <w:szCs w:val="24"/>
              </w:rPr>
              <w:t>HJ/T84-2016</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离子色谱仪</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CIC-D100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0.007mg/L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硝酸盐</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水质无机阴离子的测定离子色谱法</w:t>
            </w:r>
            <w:r>
              <w:rPr>
                <w:rFonts w:hint="default" w:ascii="Times New Roman" w:hAnsi="Times New Roman" w:cs="Times New Roman"/>
                <w:bCs/>
                <w:sz w:val="24"/>
                <w:szCs w:val="24"/>
              </w:rPr>
              <w:t>HJ/T84-2016</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离子色谱仪</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CIC-D100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0.016mg/L</w:t>
            </w:r>
          </w:p>
          <w:p>
            <w:pPr>
              <w:pStyle w:val="12"/>
              <w:overflowPunct w:val="0"/>
              <w:snapToGrid w:val="0"/>
              <w:rPr>
                <w:rFonts w:hint="default" w:ascii="Times New Roman" w:hAnsi="Times New Roman" w:cs="Times New Roman" w:eastAsiaTheme="minorEastAsia"/>
                <w:sz w:val="24"/>
                <w:szCs w:val="24"/>
              </w:rPr>
            </w:pPr>
            <w:r>
              <w:rPr>
                <w:rFonts w:hint="default" w:ascii="Times New Roman" w:hAnsi="Times New Roman" w:cs="Times New Roman"/>
                <w:sz w:val="24"/>
                <w:szCs w:val="24"/>
              </w:rPr>
              <w:t>（NO</w:t>
            </w:r>
            <w:r>
              <w:rPr>
                <w:rFonts w:hint="default" w:ascii="Times New Roman" w:hAnsi="Times New Roman" w:cs="Times New Roman"/>
                <w:sz w:val="24"/>
                <w:szCs w:val="24"/>
                <w:vertAlign w:val="subscript"/>
              </w:rPr>
              <w:t>3</w:t>
            </w:r>
            <w:r>
              <w:rPr>
                <w:rFonts w:hint="default" w:ascii="Times New Roman" w:hAnsi="Times New Roman" w:cs="Times New Roman"/>
                <w:sz w:val="24"/>
                <w:szCs w:val="24"/>
                <w:vertAlign w:val="superscript"/>
              </w:rPr>
              <w:t>-</w:t>
            </w:r>
            <w:r>
              <w:rPr>
                <w:rFonts w:hint="default" w:ascii="Times New Roman" w:hAnsi="Times New Roman" w:cs="Times New Roman"/>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4</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亚硝酸盐</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水质亚硝酸盐氮的测定分光光度法</w:t>
            </w:r>
            <w:r>
              <w:rPr>
                <w:rFonts w:hint="default" w:ascii="Times New Roman" w:hAnsi="Times New Roman" w:cs="Times New Roman"/>
                <w:bCs/>
                <w:sz w:val="24"/>
                <w:szCs w:val="24"/>
              </w:rPr>
              <w:t>GB7493-1987</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紫外-可见分光光度计TU 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0.003mg/L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5</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高锰酸盐指数（耗氧量）</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水质高锰酸盐指数的测定GB11892-1989</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0.5mg/L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6</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硫酸盐</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水质无机阴离子的测定离子色谱法</w:t>
            </w:r>
            <w:r>
              <w:rPr>
                <w:rFonts w:hint="default" w:ascii="Times New Roman" w:hAnsi="Times New Roman" w:cs="Times New Roman"/>
                <w:bCs/>
                <w:sz w:val="24"/>
                <w:szCs w:val="24"/>
              </w:rPr>
              <w:t>HJ/T84-2016</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离子色谱仪</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CIC-D100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0.018mg/L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7</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氰化物</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水质氰化物的测定</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容量法和分光光度法HJ484-2009</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紫外-可见分光光度计TU 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0.004mg/L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8</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总硬度</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水质钙和镁总量的测定EDTA滴定法GB7477-87</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0.05mmol/L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9</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氨氮</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水质氨氮的测定</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纳氏试剂分光光度法HJ535-2009</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紫外-可见分光光度计TU 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0.025mg/L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10</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汞</w:t>
            </w:r>
          </w:p>
        </w:tc>
        <w:tc>
          <w:tcPr>
            <w:tcW w:w="4335"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水质汞、砷、硒、铋和锑的测定</w:t>
            </w:r>
          </w:p>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sz w:val="24"/>
                <w:szCs w:val="24"/>
              </w:rPr>
              <w:t>原子荧光法HJ694-2014</w:t>
            </w:r>
          </w:p>
        </w:tc>
        <w:tc>
          <w:tcPr>
            <w:tcW w:w="1816"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非色散原子荧光光度计PF6-1</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0.04μg/L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11</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六价铬</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水质六价铬的测定二苯碳酰二肼</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分光光度法GB7467-87</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紫外-可见分光</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光度计TU1810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0.004mg/L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12</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砷</w:t>
            </w:r>
          </w:p>
        </w:tc>
        <w:tc>
          <w:tcPr>
            <w:tcW w:w="4335"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水质汞、砷、硒、铋和锑的测定</w:t>
            </w:r>
          </w:p>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sz w:val="24"/>
                <w:szCs w:val="24"/>
              </w:rPr>
              <w:t>原子荧光法HJ694-2014</w:t>
            </w:r>
          </w:p>
        </w:tc>
        <w:tc>
          <w:tcPr>
            <w:tcW w:w="1816"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非色散原子荧光光度计PF6-1</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0.3μg/L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13</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硒</w:t>
            </w:r>
          </w:p>
        </w:tc>
        <w:tc>
          <w:tcPr>
            <w:tcW w:w="4335"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水质汞、砷、硒、铋和锑的测定</w:t>
            </w:r>
          </w:p>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原子荧光法HJ694-2014</w:t>
            </w:r>
          </w:p>
        </w:tc>
        <w:tc>
          <w:tcPr>
            <w:tcW w:w="1816"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非色散原子荧光光度计PF6-1</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0.4μg/L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14</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锰</w:t>
            </w:r>
          </w:p>
        </w:tc>
        <w:tc>
          <w:tcPr>
            <w:tcW w:w="4335"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sz w:val="24"/>
                <w:szCs w:val="24"/>
              </w:rPr>
              <w:t>水质32种元素的测定电感耦合等离子体发射光谱法HJ776-2015</w:t>
            </w:r>
          </w:p>
        </w:tc>
        <w:tc>
          <w:tcPr>
            <w:tcW w:w="1816"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电感耦合等离子体发射光谱仪5110VDV</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0.01mg/L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15</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铁</w:t>
            </w:r>
          </w:p>
        </w:tc>
        <w:tc>
          <w:tcPr>
            <w:tcW w:w="4335"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sz w:val="24"/>
                <w:szCs w:val="24"/>
              </w:rPr>
              <w:t>水质32种元素的测定电感耦合等离子体发射光谱法HJ776-2015</w:t>
            </w:r>
          </w:p>
        </w:tc>
        <w:tc>
          <w:tcPr>
            <w:tcW w:w="1816"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电感耦合等离子体发射光谱仪5110VDV</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0.01mg/L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16</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挥发酚</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水质挥发酚的测定4-氨基安替比林分光光度法HJ503-2009</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紫外-可见分光光度计TU 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0.0003mg/L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17</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镉</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石墨炉原子吸收法测定镉铜铅</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《水和废水监测分析方法》（第四版增补版）国家环保总局（2002年）</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原子吸收分光光度计TAS-990G</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0.100μg/L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18</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铅</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石墨炉原子吸收法测定镉铜铅</w:t>
            </w:r>
          </w:p>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sz w:val="24"/>
                <w:szCs w:val="24"/>
              </w:rPr>
              <w:t>《水和废水监测分析方法》（第四版增补版）国家环保总局（2002年）</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原子吸收分光光度计TAS-990G</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1.00μg/L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19</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铜</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石墨炉原子吸收法测定镉铜铅</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《水和废水监测分析方法》（第四版增补版）国家环保总局（2002年）</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原子吸收分光光度计TAS-990G</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1.00μg/L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20</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锌</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水质铜铅锌镉的测定原子吸收分光光度法GB7475-1987</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原子吸收分光光度计TAS-990F</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0.050mg/L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21</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溶解性总固体</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重量法</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《水和废水监测分析方法》（第四版增补版）国家环保总局（2002年）</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电子天平AL204/01</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22</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氟化物</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水质无机阴离子的测定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离子色谱法</w:t>
            </w:r>
            <w:r>
              <w:rPr>
                <w:rFonts w:hint="default" w:ascii="Times New Roman" w:hAnsi="Times New Roman" w:cs="Times New Roman"/>
                <w:bCs/>
                <w:sz w:val="24"/>
                <w:szCs w:val="24"/>
              </w:rPr>
              <w:t>HJ/T84-2016</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离子色谱仪</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CIC-D100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0.006mg/L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23</w:t>
            </w:r>
          </w:p>
        </w:tc>
        <w:tc>
          <w:tcPr>
            <w:tcW w:w="1275" w:type="dxa"/>
            <w:tcBorders>
              <w:tl2br w:val="nil"/>
              <w:tr2bl w:val="nil"/>
            </w:tcBorders>
            <w:tcMar>
              <w:top w:w="0" w:type="dxa"/>
              <w:left w:w="0" w:type="dxa"/>
              <w:bottom w:w="0" w:type="dxa"/>
              <w:right w:w="0" w:type="dxa"/>
            </w:tcMar>
            <w:vAlign w:val="center"/>
          </w:tcPr>
          <w:p>
            <w:pPr>
              <w:pStyle w:val="12"/>
              <w:overflowPunct w:val="0"/>
              <w:snapToGrid w:val="0"/>
              <w:spacing w:line="340" w:lineRule="exact"/>
              <w:rPr>
                <w:rFonts w:hint="default" w:ascii="Times New Roman" w:hAnsi="Times New Roman" w:cs="Times New Roman"/>
                <w:sz w:val="24"/>
                <w:szCs w:val="24"/>
              </w:rPr>
            </w:pPr>
            <w:r>
              <w:rPr>
                <w:rFonts w:hint="default" w:ascii="Times New Roman" w:hAnsi="Times New Roman" w:cs="Times New Roman"/>
                <w:color w:val="000000"/>
                <w:sz w:val="24"/>
                <w:szCs w:val="24"/>
              </w:rPr>
              <w:t>菌落总数</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生活饮用水标准检验方法微生物指标GB/T5750.12-2006</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1.1平皿计数法</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生化培养箱SHP-250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24</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总大肠菌群</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生活饮用水标准检验方法微生物指标GB/T5750.12-2006</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2.1多管发酵法</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生化培养箱SHP-250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25</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浊度</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水质浊度的测定浊度计法HJ1075-2019</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浊度计WGZ-2B</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0.3NTU</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26</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肉眼可见物</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生活饮用水标准检验方法感官和物理指标GB/T5750.4-2006</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4.1直接观察法</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27</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色度</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生活饮用水标准检验方法感官和物理指标GB/T5750.4-2006</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1.1铂-钴标准比色法</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color w:val="000000"/>
                <w:sz w:val="24"/>
                <w:szCs w:val="24"/>
              </w:rPr>
              <w:t>5度</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28</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臭和味</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bCs/>
                <w:sz w:val="24"/>
                <w:szCs w:val="24"/>
              </w:rPr>
            </w:pPr>
            <w:r>
              <w:rPr>
                <w:rFonts w:hint="default" w:ascii="Times New Roman" w:hAnsi="Times New Roman" w:cs="Times New Roman"/>
                <w:bCs/>
                <w:sz w:val="24"/>
                <w:szCs w:val="24"/>
              </w:rPr>
              <w:t>生活饮用水标准检验方法感官和物理指标GB/T5750.4-2006</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3.1嗅气和尝味法</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29</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碘化物</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生活饮用水标准检验方法无机非金属指标GB/T5750.5-2006</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11.2比色法</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紫外-可见分光光度计TU 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0.05mg/L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30</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三氯甲烷</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水质挥发性有机物的测定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吹扫捕集/气相色谱-质谱法HJ639-2012</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bCs/>
                <w:sz w:val="24"/>
              </w:rPr>
              <w:t>气相色谱-质谱仪GC7890B-MS5977B</w:t>
            </w:r>
          </w:p>
        </w:tc>
        <w:tc>
          <w:tcPr>
            <w:tcW w:w="940"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color w:val="FF0000"/>
                <w:sz w:val="24"/>
                <w:szCs w:val="24"/>
              </w:rPr>
            </w:pPr>
            <w:r>
              <w:rPr>
                <w:rFonts w:hint="default" w:ascii="Times New Roman" w:hAnsi="Times New Roman" w:cs="Times New Roman"/>
                <w:bCs/>
                <w:sz w:val="24"/>
              </w:rPr>
              <w:t>1.4μg/L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31</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bCs/>
                <w:sz w:val="24"/>
                <w:szCs w:val="24"/>
              </w:rPr>
              <w:t>四氯化碳</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水质挥发性有机物的测定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吹扫捕集/气相色谱-质谱法HJ639-2012</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bCs/>
                <w:sz w:val="24"/>
              </w:rPr>
              <w:t>气相色谱-质谱仪GC7890B-MS5977B</w:t>
            </w:r>
          </w:p>
        </w:tc>
        <w:tc>
          <w:tcPr>
            <w:tcW w:w="940"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color w:val="FF0000"/>
                <w:sz w:val="24"/>
                <w:szCs w:val="24"/>
              </w:rPr>
            </w:pPr>
            <w:r>
              <w:rPr>
                <w:rFonts w:hint="default" w:ascii="Times New Roman" w:hAnsi="Times New Roman" w:cs="Times New Roman"/>
                <w:bCs/>
                <w:sz w:val="24"/>
              </w:rPr>
              <w:t>1.5μg/L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32</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苯</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水质挥发性有机物的测定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吹扫捕集/气相色谱-质谱法HJ639-2012</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bCs/>
                <w:sz w:val="24"/>
              </w:rPr>
              <w:t>气相色谱-质谱仪GC7890B-MS5977B</w:t>
            </w:r>
          </w:p>
        </w:tc>
        <w:tc>
          <w:tcPr>
            <w:tcW w:w="940"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color w:val="FF0000"/>
                <w:sz w:val="24"/>
                <w:szCs w:val="24"/>
              </w:rPr>
            </w:pPr>
            <w:r>
              <w:rPr>
                <w:rFonts w:hint="default" w:ascii="Times New Roman" w:hAnsi="Times New Roman" w:cs="Times New Roman"/>
                <w:bCs/>
                <w:sz w:val="24"/>
              </w:rPr>
              <w:t>1.4μg/L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33</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甲苯</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水质挥发性有机物的测定</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吹扫捕集/气相色谱-质谱法HJ639-2012</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bCs/>
                <w:sz w:val="24"/>
              </w:rPr>
              <w:t>气相色谱-质谱仪GC7890B-MS5977B</w:t>
            </w:r>
          </w:p>
        </w:tc>
        <w:tc>
          <w:tcPr>
            <w:tcW w:w="940" w:type="dxa"/>
            <w:tcBorders>
              <w:right w:val="single" w:color="auto" w:sz="4" w:space="0"/>
              <w:tl2br w:val="nil"/>
              <w:tr2bl w:val="nil"/>
            </w:tcBorders>
            <w:tcMar>
              <w:top w:w="0" w:type="dxa"/>
              <w:left w:w="0" w:type="dxa"/>
              <w:bottom w:w="0" w:type="dxa"/>
              <w:right w:w="0" w:type="dxa"/>
            </w:tcMar>
            <w:vAlign w:val="center"/>
          </w:tcPr>
          <w:p>
            <w:pPr>
              <w:overflowPunct w:val="0"/>
              <w:snapToGrid w:val="0"/>
              <w:jc w:val="center"/>
              <w:rPr>
                <w:rFonts w:hint="default" w:ascii="Times New Roman" w:hAnsi="Times New Roman" w:cs="Times New Roman"/>
                <w:color w:val="FF0000"/>
                <w:sz w:val="24"/>
                <w:szCs w:val="24"/>
              </w:rPr>
            </w:pPr>
            <w:r>
              <w:rPr>
                <w:rFonts w:hint="default" w:ascii="Times New Roman" w:hAnsi="Times New Roman" w:cs="Times New Roman"/>
                <w:bCs/>
                <w:sz w:val="24"/>
              </w:rPr>
              <w:t>1.4μg/L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34</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铝</w:t>
            </w:r>
          </w:p>
        </w:tc>
        <w:tc>
          <w:tcPr>
            <w:tcW w:w="4335"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sz w:val="24"/>
                <w:szCs w:val="24"/>
              </w:rPr>
            </w:pPr>
            <w:r>
              <w:rPr>
                <w:rFonts w:hint="default" w:ascii="Times New Roman" w:hAnsi="Times New Roman" w:cs="Times New Roman"/>
                <w:sz w:val="24"/>
                <w:szCs w:val="24"/>
              </w:rPr>
              <w:t>水质32种元素的测定电感耦合等离子体发射光谱法HJ776-2015</w:t>
            </w:r>
          </w:p>
        </w:tc>
        <w:tc>
          <w:tcPr>
            <w:tcW w:w="1816" w:type="dxa"/>
            <w:tcBorders>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color w:val="000000"/>
                <w:sz w:val="24"/>
                <w:szCs w:val="24"/>
              </w:rPr>
            </w:pPr>
            <w:r>
              <w:rPr>
                <w:rFonts w:hint="default" w:ascii="Times New Roman" w:hAnsi="Times New Roman" w:cs="Times New Roman"/>
                <w:sz w:val="24"/>
                <w:szCs w:val="24"/>
              </w:rPr>
              <w:t>电感耦合等离子体发射光谱仪5110VDV</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color w:val="000000"/>
                <w:sz w:val="24"/>
                <w:szCs w:val="24"/>
              </w:rPr>
            </w:pPr>
            <w:r>
              <w:rPr>
                <w:rFonts w:hint="default" w:ascii="Times New Roman" w:hAnsi="Times New Roman" w:cs="Times New Roman"/>
                <w:sz w:val="24"/>
                <w:szCs w:val="24"/>
              </w:rPr>
              <w:t>0.009mg/L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35</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钠</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水质钾和钠的测定火焰原子吸收分光光度法GB11904-1989</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sz w:val="24"/>
                <w:szCs w:val="24"/>
              </w:rPr>
              <w:t>原子吸收分光光度计TAS-990F</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sz w:val="24"/>
                <w:szCs w:val="24"/>
              </w:rPr>
              <w:t>0.010mg/L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4" w:type="dxa"/>
            <w:tcBorders>
              <w:left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36</w:t>
            </w:r>
          </w:p>
        </w:tc>
        <w:tc>
          <w:tcPr>
            <w:tcW w:w="127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硫化物</w:t>
            </w:r>
          </w:p>
        </w:tc>
        <w:tc>
          <w:tcPr>
            <w:tcW w:w="4335"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水质硫化物的测定亚甲基蓝分光光度法</w:t>
            </w:r>
            <w:r>
              <w:rPr>
                <w:rFonts w:hint="default" w:ascii="Times New Roman" w:hAnsi="Times New Roman" w:cs="Times New Roman"/>
                <w:color w:val="000000"/>
                <w:sz w:val="24"/>
                <w:szCs w:val="24"/>
              </w:rPr>
              <w:t>GB/T16489-1996</w:t>
            </w:r>
          </w:p>
        </w:tc>
        <w:tc>
          <w:tcPr>
            <w:tcW w:w="1816" w:type="dxa"/>
            <w:tcBorders>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紫外-可见分光光度计TU 1810</w:t>
            </w:r>
          </w:p>
        </w:tc>
        <w:tc>
          <w:tcPr>
            <w:tcW w:w="940" w:type="dxa"/>
            <w:tcBorders>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sz w:val="24"/>
                <w:szCs w:val="24"/>
              </w:rPr>
              <w:t>0.005mg/L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624" w:type="dxa"/>
            <w:tcBorders>
              <w:left w:val="single" w:color="auto" w:sz="4" w:space="0"/>
              <w:bottom w:val="single" w:color="auto" w:sz="4" w:space="0"/>
              <w:tl2br w:val="nil"/>
              <w:tr2bl w:val="nil"/>
            </w:tcBorders>
            <w:tcMar>
              <w:top w:w="0" w:type="dxa"/>
              <w:left w:w="0" w:type="dxa"/>
              <w:bottom w:w="0" w:type="dxa"/>
              <w:right w:w="0" w:type="dxa"/>
            </w:tcMar>
            <w:vAlign w:val="center"/>
          </w:tcPr>
          <w:p>
            <w:pPr>
              <w:pStyle w:val="12"/>
              <w:overflowPunct w:val="0"/>
              <w:snapToGrid w:val="0"/>
              <w:spacing w:line="320" w:lineRule="exact"/>
              <w:rPr>
                <w:rFonts w:hint="default" w:ascii="Times New Roman" w:hAnsi="Times New Roman" w:cs="Times New Roman"/>
                <w:bCs/>
                <w:sz w:val="24"/>
                <w:szCs w:val="24"/>
              </w:rPr>
            </w:pPr>
            <w:r>
              <w:rPr>
                <w:rFonts w:hint="default" w:ascii="Times New Roman" w:hAnsi="Times New Roman" w:cs="Times New Roman"/>
                <w:bCs/>
                <w:sz w:val="24"/>
                <w:szCs w:val="24"/>
              </w:rPr>
              <w:t>37</w:t>
            </w:r>
          </w:p>
        </w:tc>
        <w:tc>
          <w:tcPr>
            <w:tcW w:w="1275" w:type="dxa"/>
            <w:tcBorders>
              <w:bottom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阴离子表面活性剂</w:t>
            </w:r>
          </w:p>
        </w:tc>
        <w:tc>
          <w:tcPr>
            <w:tcW w:w="4335" w:type="dxa"/>
            <w:tcBorders>
              <w:bottom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亚甲蓝分光光度法</w:t>
            </w:r>
          </w:p>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《水和废水监测分析方法》（第四版增补版）国家环保总局（2002年）</w:t>
            </w:r>
          </w:p>
        </w:tc>
        <w:tc>
          <w:tcPr>
            <w:tcW w:w="1816" w:type="dxa"/>
            <w:tcBorders>
              <w:bottom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color w:val="000000"/>
                <w:sz w:val="24"/>
                <w:szCs w:val="24"/>
              </w:rPr>
            </w:pPr>
            <w:r>
              <w:rPr>
                <w:rFonts w:hint="default" w:ascii="Times New Roman" w:hAnsi="Times New Roman" w:cs="Times New Roman"/>
                <w:sz w:val="24"/>
                <w:szCs w:val="24"/>
              </w:rPr>
              <w:t>紫外-可见分光光度计TU 1810</w:t>
            </w:r>
          </w:p>
        </w:tc>
        <w:tc>
          <w:tcPr>
            <w:tcW w:w="940" w:type="dxa"/>
            <w:tcBorders>
              <w:bottom w:val="single" w:color="auto" w:sz="4" w:space="0"/>
              <w:right w:val="single" w:color="auto" w:sz="4" w:space="0"/>
              <w:tl2br w:val="nil"/>
              <w:tr2bl w:val="nil"/>
            </w:tcBorders>
            <w:tcMar>
              <w:top w:w="0" w:type="dxa"/>
              <w:left w:w="0" w:type="dxa"/>
              <w:bottom w:w="0" w:type="dxa"/>
              <w:right w:w="0" w:type="dxa"/>
            </w:tcMar>
            <w:vAlign w:val="center"/>
          </w:tcPr>
          <w:p>
            <w:pPr>
              <w:pStyle w:val="12"/>
              <w:overflowPunct w:val="0"/>
              <w:snapToGrid w:val="0"/>
              <w:rPr>
                <w:rFonts w:hint="default" w:ascii="Times New Roman" w:hAnsi="Times New Roman" w:cs="Times New Roman"/>
                <w:sz w:val="24"/>
                <w:szCs w:val="24"/>
              </w:rPr>
            </w:pPr>
            <w:r>
              <w:rPr>
                <w:rFonts w:hint="default" w:ascii="Times New Roman" w:hAnsi="Times New Roman" w:cs="Times New Roman"/>
                <w:sz w:val="24"/>
                <w:szCs w:val="24"/>
              </w:rPr>
              <w:t>0.050mg/L</w:t>
            </w:r>
          </w:p>
        </w:tc>
      </w:tr>
    </w:tbl>
    <w:p>
      <w:pPr>
        <w:pStyle w:val="5"/>
        <w:keepNext w:val="0"/>
        <w:keepLines w:val="0"/>
        <w:widowControl/>
        <w:spacing w:line="360" w:lineRule="auto"/>
        <w:contextualSpacing/>
        <w:jc w:val="left"/>
        <w:outlineLvl w:val="0"/>
        <w:rPr>
          <w:rFonts w:ascii="Times New Roman" w:hAnsi="Times New Roman"/>
          <w:b/>
          <w:kern w:val="0"/>
          <w:sz w:val="28"/>
          <w:szCs w:val="26"/>
        </w:rPr>
      </w:pPr>
      <w:bookmarkStart w:id="408" w:name="_Toc27099"/>
      <w:bookmarkStart w:id="409" w:name="_Toc27372"/>
      <w:bookmarkStart w:id="410" w:name="_Toc27078372"/>
      <w:bookmarkStart w:id="411" w:name="_Toc25729"/>
      <w:bookmarkStart w:id="412" w:name="_Toc19250"/>
      <w:bookmarkStart w:id="413" w:name="_Toc8229"/>
      <w:bookmarkStart w:id="414" w:name="_Toc27577077"/>
      <w:bookmarkStart w:id="415" w:name="_Toc21898"/>
      <w:bookmarkStart w:id="416" w:name="_Toc31067"/>
      <w:bookmarkStart w:id="417" w:name="_Toc24223"/>
      <w:r>
        <w:rPr>
          <w:rFonts w:hint="eastAsia" w:ascii="Times New Roman" w:hAnsi="Times New Roman"/>
          <w:b/>
          <w:kern w:val="0"/>
          <w:sz w:val="28"/>
          <w:szCs w:val="26"/>
        </w:rPr>
        <w:t>4.4质量保证与质量控制</w:t>
      </w:r>
      <w:bookmarkEnd w:id="407"/>
      <w:bookmarkEnd w:id="408"/>
      <w:bookmarkEnd w:id="409"/>
      <w:bookmarkEnd w:id="410"/>
      <w:bookmarkEnd w:id="411"/>
      <w:bookmarkEnd w:id="412"/>
      <w:bookmarkEnd w:id="413"/>
      <w:bookmarkEnd w:id="414"/>
      <w:bookmarkEnd w:id="415"/>
      <w:bookmarkEnd w:id="416"/>
      <w:bookmarkEnd w:id="417"/>
    </w:p>
    <w:p>
      <w:pPr>
        <w:spacing w:beforeLines="50" w:afterLines="50"/>
        <w:ind w:firstLine="723" w:firstLineChars="300"/>
        <w:rPr>
          <w:rFonts w:ascii="Times New Roman" w:hAnsi="Times New Roman"/>
          <w:b/>
          <w:color w:val="000000"/>
          <w:sz w:val="24"/>
          <w:szCs w:val="24"/>
        </w:rPr>
      </w:pPr>
      <w:bookmarkStart w:id="418" w:name="_Toc25673290"/>
      <w:r>
        <w:rPr>
          <w:rFonts w:hint="eastAsia" w:ascii="Times New Roman" w:hAnsi="Times New Roman"/>
          <w:b/>
          <w:color w:val="000000"/>
          <w:sz w:val="24"/>
          <w:szCs w:val="24"/>
        </w:rPr>
        <w:t>4.4.1质量控制措施</w:t>
      </w:r>
      <w:bookmarkEnd w:id="418"/>
    </w:p>
    <w:p>
      <w:pPr>
        <w:widowControl/>
        <w:spacing w:line="360" w:lineRule="auto"/>
        <w:ind w:firstLine="480" w:firstLineChars="200"/>
        <w:jc w:val="left"/>
        <w:rPr>
          <w:rFonts w:hAnsi="宋体"/>
          <w:sz w:val="24"/>
          <w:szCs w:val="24"/>
        </w:rPr>
      </w:pPr>
      <w:r>
        <w:rPr>
          <w:rFonts w:hint="eastAsia" w:hAnsi="宋体"/>
          <w:sz w:val="24"/>
          <w:szCs w:val="24"/>
        </w:rPr>
        <w:t>空白试验</w:t>
      </w:r>
    </w:p>
    <w:p>
      <w:pPr>
        <w:widowControl/>
        <w:spacing w:line="360" w:lineRule="auto"/>
        <w:ind w:firstLine="480" w:firstLineChars="200"/>
        <w:jc w:val="left"/>
        <w:rPr>
          <w:rFonts w:hAnsi="宋体"/>
          <w:sz w:val="24"/>
          <w:szCs w:val="24"/>
        </w:rPr>
      </w:pPr>
      <w:r>
        <w:rPr>
          <w:rFonts w:hAnsi="宋体"/>
          <w:sz w:val="24"/>
          <w:szCs w:val="24"/>
        </w:rPr>
        <w:t>每批样品做1次空白试验，空白样品分析测试结果一般应低于方法检出限。若空白样品分析测试结果低于方法检出限，忽略不计若空白样品分析测试结果略高于方法检出限但比较稳定，可进行多次重复试验，计算空白样品分析测试结果平均值并从样品分析测试结果中扣除；若空白样品分析测试结果明显超过正常值，实验室应查找原因并采取适当的纠正和预防措施，并重新对样品进行分析测试。</w:t>
      </w:r>
    </w:p>
    <w:p>
      <w:pPr>
        <w:widowControl/>
        <w:spacing w:line="360" w:lineRule="auto"/>
        <w:ind w:firstLine="480" w:firstLineChars="200"/>
        <w:jc w:val="left"/>
        <w:rPr>
          <w:rFonts w:hAnsi="宋体"/>
          <w:sz w:val="24"/>
          <w:szCs w:val="24"/>
        </w:rPr>
      </w:pPr>
      <w:r>
        <w:rPr>
          <w:rFonts w:hAnsi="宋体"/>
          <w:sz w:val="24"/>
          <w:szCs w:val="24"/>
        </w:rPr>
        <w:t>标准曲线的绘制与校准</w:t>
      </w:r>
    </w:p>
    <w:p>
      <w:pPr>
        <w:widowControl/>
        <w:spacing w:line="360" w:lineRule="auto"/>
        <w:ind w:firstLine="480" w:firstLineChars="200"/>
        <w:jc w:val="left"/>
        <w:rPr>
          <w:rFonts w:hAnsi="宋体"/>
          <w:sz w:val="24"/>
          <w:szCs w:val="24"/>
        </w:rPr>
      </w:pPr>
      <w:r>
        <w:rPr>
          <w:rFonts w:hAnsi="宋体"/>
          <w:sz w:val="24"/>
          <w:szCs w:val="24"/>
        </w:rPr>
        <w:t>釆用校准曲线法进行定量分析时，一般应至少使用5个浓度梯度的标准溶液（除空白外），覆盖被测样品的浓度范围，且最低点浓度应接近方法测定下限的水平。分析测试方法有规定时，按分析测试方法的规定进行；分析测试方法无规定时，校准曲线相关系数要求为r&gt;0.999o</w:t>
      </w:r>
    </w:p>
    <w:p>
      <w:pPr>
        <w:widowControl/>
        <w:spacing w:line="360" w:lineRule="auto"/>
        <w:ind w:firstLine="480" w:firstLineChars="200"/>
        <w:jc w:val="left"/>
        <w:rPr>
          <w:rFonts w:hAnsi="宋体"/>
          <w:sz w:val="24"/>
          <w:szCs w:val="24"/>
        </w:rPr>
      </w:pPr>
      <w:r>
        <w:rPr>
          <w:rFonts w:hAnsi="宋体"/>
          <w:sz w:val="24"/>
          <w:szCs w:val="24"/>
        </w:rPr>
        <w:t>连续进样分析时，每分析测试20个样品，应测定一次校准曲线中间浓度点，确认分析仪器校准曲线是否发生显著变化。分析测试方法有规定的，按分析测试方法的规定进行；分析测试方法无规定时，无机检测项目分析测试相对偏差应控制在10%以内，有机检测项目分析测试相对偏差应控制在20%以内，超过此范围时需要查明原因，重新绘制校准曲线，并重新分析测试该批次全部样品。检测方法有要求的按照检测方法要求执行。</w:t>
      </w:r>
    </w:p>
    <w:p>
      <w:pPr>
        <w:pStyle w:val="2"/>
        <w:spacing w:line="360" w:lineRule="auto"/>
        <w:rPr>
          <w:rFonts w:hAnsi="宋体"/>
          <w:sz w:val="24"/>
          <w:szCs w:val="24"/>
        </w:rPr>
      </w:pPr>
      <w:r>
        <w:rPr>
          <w:rFonts w:hint="eastAsia" w:hAnsi="宋体"/>
          <w:sz w:val="24"/>
          <w:szCs w:val="24"/>
        </w:rPr>
        <w:t>精密度的控制</w:t>
      </w:r>
    </w:p>
    <w:p>
      <w:pPr>
        <w:pStyle w:val="16"/>
        <w:spacing w:after="140" w:line="360" w:lineRule="auto"/>
        <w:ind w:firstLine="480" w:firstLineChars="200"/>
        <w:jc w:val="left"/>
        <w:rPr>
          <w:rFonts w:ascii="Calibri" w:cs="Times New Roman"/>
          <w:sz w:val="24"/>
          <w:szCs w:val="24"/>
          <w:lang w:val="en-US" w:eastAsia="zh-CN" w:bidi="ar-SA"/>
        </w:rPr>
      </w:pPr>
      <w:r>
        <w:rPr>
          <w:rFonts w:ascii="Calibri" w:cs="Times New Roman"/>
          <w:sz w:val="24"/>
          <w:szCs w:val="24"/>
          <w:lang w:val="en-US" w:eastAsia="zh-CN" w:bidi="ar-SA"/>
        </w:rPr>
        <w:t>土壤：每批次样品分析时，每个检测项目均须做平行双样分析。在每批次分析样品中，应随机抽取5%的样品进行平行双样分析；当批次样品数V20时，应至少随机抽取1个样品进行平行双样分析。</w:t>
      </w:r>
    </w:p>
    <w:p>
      <w:pPr>
        <w:pStyle w:val="16"/>
        <w:spacing w:line="360" w:lineRule="auto"/>
        <w:ind w:firstLine="480" w:firstLineChars="200"/>
        <w:jc w:val="left"/>
        <w:rPr>
          <w:rFonts w:ascii="Calibri" w:cs="Times New Roman"/>
          <w:sz w:val="24"/>
          <w:szCs w:val="24"/>
          <w:lang w:val="en-US" w:eastAsia="zh-CN" w:bidi="ar-SA"/>
        </w:rPr>
      </w:pPr>
      <w:r>
        <w:rPr>
          <w:rFonts w:ascii="Calibri" w:cs="Times New Roman"/>
          <w:sz w:val="24"/>
          <w:szCs w:val="24"/>
          <w:lang w:val="en-US" w:eastAsia="zh-CN" w:bidi="ar-SA"/>
        </w:rPr>
        <w:t>地下水：凡样品均匀能做平行双样的分析项目，每批水样分析时均须做10%的平行双样，样品数V10时，每批样品应至少做一份样品的平行双样。</w:t>
      </w:r>
    </w:p>
    <w:p>
      <w:pPr>
        <w:pStyle w:val="16"/>
        <w:spacing w:after="160" w:line="360" w:lineRule="auto"/>
        <w:ind w:firstLine="480" w:firstLineChars="200"/>
        <w:jc w:val="left"/>
        <w:rPr>
          <w:rFonts w:ascii="Calibri" w:cs="Times New Roman"/>
          <w:sz w:val="24"/>
          <w:szCs w:val="24"/>
          <w:lang w:val="en-US" w:eastAsia="zh-CN" w:bidi="ar-SA"/>
        </w:rPr>
      </w:pPr>
      <w:r>
        <w:rPr>
          <w:rFonts w:ascii="Calibri" w:cs="Times New Roman"/>
          <w:sz w:val="24"/>
          <w:szCs w:val="24"/>
          <w:lang w:val="en-US" w:eastAsia="zh-CN" w:bidi="ar-SA"/>
        </w:rPr>
        <w:t>对平行双样分析测试合格率要求应达到95%o当合格率小于95%时，应査明产生不合格结果的原因，釆取适当的纠正和预防措施。除对不合格结果重新分析测试外，应再增加5%〜15%的平行双样分析比例，直至总合格率达到95%</w:t>
      </w:r>
      <w:r>
        <w:rPr>
          <w:rFonts w:hint="eastAsia" w:ascii="Calibri" w:cs="Times New Roman"/>
          <w:sz w:val="24"/>
          <w:szCs w:val="24"/>
          <w:lang w:val="en-US" w:eastAsia="zh-CN" w:bidi="ar-SA"/>
        </w:rPr>
        <w:t>。</w:t>
      </w:r>
    </w:p>
    <w:p>
      <w:pPr>
        <w:widowControl/>
        <w:spacing w:line="360" w:lineRule="auto"/>
        <w:ind w:firstLine="480" w:firstLineChars="200"/>
        <w:jc w:val="left"/>
        <w:rPr>
          <w:rFonts w:hAnsi="宋体"/>
          <w:sz w:val="24"/>
          <w:szCs w:val="24"/>
        </w:rPr>
      </w:pPr>
      <w:r>
        <w:rPr>
          <w:rFonts w:hint="eastAsia" w:hAnsi="宋体"/>
          <w:sz w:val="24"/>
          <w:szCs w:val="24"/>
        </w:rPr>
        <w:t>准确度的控制</w:t>
      </w:r>
    </w:p>
    <w:p>
      <w:pPr>
        <w:pStyle w:val="16"/>
        <w:spacing w:after="160" w:line="360" w:lineRule="auto"/>
        <w:ind w:firstLine="480" w:firstLineChars="200"/>
        <w:jc w:val="left"/>
        <w:rPr>
          <w:rFonts w:ascii="Calibri" w:cs="Times New Roman"/>
          <w:sz w:val="24"/>
          <w:szCs w:val="24"/>
          <w:lang w:val="en-US" w:eastAsia="zh-CN" w:bidi="ar-SA"/>
        </w:rPr>
      </w:pPr>
      <w:bookmarkStart w:id="419" w:name="bookmark47"/>
      <w:bookmarkStart w:id="420" w:name="_Toc24342"/>
      <w:bookmarkStart w:id="421" w:name="_Toc13640"/>
      <w:bookmarkStart w:id="422" w:name="_Toc48673375"/>
      <w:bookmarkStart w:id="423" w:name="_Toc17921"/>
      <w:bookmarkStart w:id="424" w:name="_Toc28250"/>
      <w:bookmarkStart w:id="425" w:name="_Toc25051"/>
      <w:bookmarkStart w:id="426" w:name="_Toc1283"/>
      <w:bookmarkStart w:id="427" w:name="_Toc23822"/>
      <w:bookmarkStart w:id="428" w:name="_Toc14311"/>
      <w:bookmarkStart w:id="429" w:name="_Toc17713"/>
      <w:r>
        <w:rPr>
          <w:rFonts w:ascii="Calibri" w:cs="Times New Roman"/>
          <w:sz w:val="24"/>
          <w:szCs w:val="24"/>
          <w:lang w:val="en-US" w:eastAsia="zh-CN" w:bidi="ar-SA"/>
        </w:rPr>
        <w:t>（</w:t>
      </w:r>
      <w:bookmarkEnd w:id="419"/>
      <w:r>
        <w:rPr>
          <w:rFonts w:ascii="Calibri" w:cs="Times New Roman"/>
          <w:sz w:val="24"/>
          <w:szCs w:val="24"/>
          <w:lang w:val="en-US" w:eastAsia="zh-CN" w:bidi="ar-SA"/>
        </w:rPr>
        <w:t>1）当具备与被测土壤或地下水样品基体相同或类似的有证标准物质时，应在每批次样品分析时同步均匀插入与被测样品含量水平相当的有证标准物质样品进行分析测试。每批次同类型分析样品要求按样品数5%（地下水为10%）的比例插入标准物质样品；当批次分析样品数V20（地下水为10）时，应至少插入1个标准物质样品。</w:t>
      </w:r>
    </w:p>
    <w:p>
      <w:pPr>
        <w:pStyle w:val="16"/>
        <w:spacing w:after="160" w:line="360" w:lineRule="auto"/>
        <w:ind w:firstLine="480" w:firstLineChars="200"/>
        <w:jc w:val="left"/>
        <w:rPr>
          <w:rFonts w:ascii="Calibri" w:cs="Times New Roman"/>
          <w:sz w:val="24"/>
          <w:szCs w:val="24"/>
          <w:lang w:val="en-US" w:eastAsia="zh-CN" w:bidi="ar-SA"/>
        </w:rPr>
      </w:pPr>
      <w:r>
        <w:rPr>
          <w:rFonts w:ascii="Calibri" w:cs="Times New Roman"/>
          <w:sz w:val="24"/>
          <w:szCs w:val="24"/>
          <w:lang w:val="en-US" w:eastAsia="zh-CN" w:bidi="ar-SA"/>
        </w:rPr>
        <w:t>对有证标准物质样品分析测试合格率要求应达到100%。当出现不合格结果时，应查明其原因，采取适当的纠正和预防措施，并对该标准物质样品及与之关联的详查送检样品重新进行分析测试。</w:t>
      </w:r>
    </w:p>
    <w:p>
      <w:pPr>
        <w:pStyle w:val="16"/>
        <w:spacing w:after="160" w:line="360" w:lineRule="auto"/>
        <w:ind w:firstLine="480" w:firstLineChars="200"/>
        <w:jc w:val="left"/>
        <w:rPr>
          <w:rFonts w:ascii="Calibri" w:cs="Times New Roman"/>
          <w:sz w:val="24"/>
          <w:szCs w:val="24"/>
          <w:lang w:val="en-US" w:eastAsia="zh-CN" w:bidi="ar-SA"/>
        </w:rPr>
      </w:pPr>
      <w:bookmarkStart w:id="430" w:name="bookmark48"/>
      <w:r>
        <w:rPr>
          <w:rFonts w:ascii="Calibri" w:cs="Times New Roman"/>
          <w:sz w:val="24"/>
          <w:szCs w:val="24"/>
          <w:lang w:val="en-US" w:eastAsia="zh-CN" w:bidi="ar-SA"/>
        </w:rPr>
        <w:t>（</w:t>
      </w:r>
      <w:bookmarkEnd w:id="430"/>
      <w:r>
        <w:rPr>
          <w:rFonts w:ascii="Calibri" w:cs="Times New Roman"/>
          <w:sz w:val="24"/>
          <w:szCs w:val="24"/>
          <w:lang w:val="en-US" w:eastAsia="zh-CN" w:bidi="ar-SA"/>
        </w:rPr>
        <w:t>2）当没有合适的土壤或地下水基体有证标准物质时，应釆用加标回收率试验对准确度进行控制。每批次同类型分析样品中，应随机抽取5%（地下水为10%）的样品进行加标回收率试验；当批次分析样品数＜20（地下水为10）时，应至少随机抽取1个样品进行加标回收率试验。对基体加标回收率试验结果合格率的要求应达到100%。当出现不合格结果时，应查明其原因，采取适当的纠正和预防措施，并对该批次样品重新进行分析测试。</w:t>
      </w:r>
    </w:p>
    <w:p>
      <w:pPr>
        <w:spacing w:beforeLines="50" w:afterLines="50"/>
        <w:rPr>
          <w:rFonts w:hAnsi="宋体"/>
          <w:sz w:val="24"/>
          <w:szCs w:val="24"/>
        </w:rPr>
      </w:pPr>
      <w:r>
        <w:rPr>
          <w:rFonts w:hint="eastAsia"/>
          <w:b/>
          <w:color w:val="000000"/>
          <w:sz w:val="24"/>
          <w:szCs w:val="24"/>
        </w:rPr>
        <w:t>4.4.2质量控制结果</w:t>
      </w:r>
    </w:p>
    <w:p>
      <w:pPr>
        <w:widowControl/>
        <w:spacing w:line="360" w:lineRule="auto"/>
        <w:ind w:firstLine="480" w:firstLineChars="200"/>
        <w:jc w:val="left"/>
        <w:rPr>
          <w:rFonts w:hAnsi="宋体"/>
          <w:sz w:val="24"/>
          <w:szCs w:val="24"/>
        </w:rPr>
      </w:pPr>
      <w:r>
        <w:rPr>
          <w:rFonts w:hint="eastAsia" w:hAnsi="宋体"/>
          <w:sz w:val="24"/>
          <w:szCs w:val="24"/>
        </w:rPr>
        <w:t>1.空白试验</w:t>
      </w:r>
      <w:bookmarkEnd w:id="420"/>
      <w:bookmarkEnd w:id="421"/>
      <w:bookmarkEnd w:id="422"/>
      <w:bookmarkEnd w:id="423"/>
      <w:bookmarkEnd w:id="424"/>
      <w:bookmarkEnd w:id="425"/>
      <w:bookmarkEnd w:id="426"/>
      <w:bookmarkEnd w:id="427"/>
      <w:bookmarkEnd w:id="428"/>
      <w:bookmarkEnd w:id="429"/>
    </w:p>
    <w:p>
      <w:pPr>
        <w:spacing w:line="360" w:lineRule="auto"/>
        <w:ind w:firstLine="480" w:firstLineChars="200"/>
        <w:jc w:val="left"/>
        <w:rPr>
          <w:rFonts w:hint="eastAsia" w:hAnsi="宋体"/>
          <w:b/>
          <w:bCs/>
          <w:sz w:val="24"/>
          <w:szCs w:val="24"/>
        </w:rPr>
      </w:pPr>
      <w:r>
        <w:rPr>
          <w:rFonts w:hAnsi="宋体"/>
          <w:sz w:val="24"/>
          <w:szCs w:val="24"/>
        </w:rPr>
        <w:t>每批次样品分析时，应进行空白</w:t>
      </w:r>
      <w:r>
        <w:rPr>
          <w:rFonts w:hint="eastAsia" w:hAnsi="宋体"/>
          <w:sz w:val="24"/>
          <w:szCs w:val="24"/>
        </w:rPr>
        <w:t>实验</w:t>
      </w:r>
      <w:r>
        <w:rPr>
          <w:rFonts w:hAnsi="宋体"/>
          <w:sz w:val="24"/>
          <w:szCs w:val="24"/>
        </w:rPr>
        <w:t>。每批样品至少做</w:t>
      </w:r>
      <w:r>
        <w:rPr>
          <w:rFonts w:hint="eastAsia" w:hAnsi="宋体"/>
          <w:sz w:val="24"/>
          <w:szCs w:val="24"/>
        </w:rPr>
        <w:t>1</w:t>
      </w:r>
      <w:r>
        <w:rPr>
          <w:rFonts w:hAnsi="宋体"/>
          <w:sz w:val="24"/>
          <w:szCs w:val="24"/>
        </w:rPr>
        <w:t>次空白</w:t>
      </w:r>
      <w:r>
        <w:rPr>
          <w:rFonts w:hint="eastAsia" w:hAnsi="宋体"/>
          <w:sz w:val="24"/>
          <w:szCs w:val="24"/>
        </w:rPr>
        <w:t>实验，空白样品分析测试结果一般应低于方法检出限。本次监测空白实验测试结果符合《土壤环境监测技术规范》（HJ/T166-2004）、《地下水环境监测技术规范》（HJ/T164-2004）、《环境水质监测质量保证手册》（第四版）、《重点行业企业用地调查质量保证与质量控制技术规定》（试行）及国家或行业标准等相关要求，质控结果全部合格，实验室空白实验质控统计表见表1</w:t>
      </w:r>
      <w:r>
        <w:rPr>
          <w:rFonts w:hint="eastAsia" w:hAnsi="宋体"/>
          <w:sz w:val="24"/>
          <w:szCs w:val="24"/>
          <w:lang w:val="en-US" w:eastAsia="zh-CN"/>
        </w:rPr>
        <w:t>1</w:t>
      </w:r>
      <w:r>
        <w:rPr>
          <w:rFonts w:hint="eastAsia" w:hAnsi="宋体"/>
          <w:sz w:val="24"/>
          <w:szCs w:val="24"/>
        </w:rPr>
        <w:t>。</w:t>
      </w:r>
    </w:p>
    <w:p>
      <w:pPr>
        <w:spacing w:line="360" w:lineRule="auto"/>
        <w:ind w:firstLine="482" w:firstLineChars="200"/>
        <w:jc w:val="center"/>
        <w:rPr>
          <w:rFonts w:hAnsi="宋体"/>
          <w:b/>
          <w:bCs/>
          <w:sz w:val="24"/>
          <w:szCs w:val="24"/>
        </w:rPr>
      </w:pPr>
      <w:r>
        <w:rPr>
          <w:rFonts w:hint="eastAsia" w:hAnsi="宋体"/>
          <w:b/>
          <w:bCs/>
          <w:sz w:val="24"/>
          <w:szCs w:val="24"/>
        </w:rPr>
        <w:t>表1</w:t>
      </w:r>
      <w:r>
        <w:rPr>
          <w:rFonts w:hint="eastAsia" w:hAnsi="宋体"/>
          <w:b/>
          <w:bCs/>
          <w:sz w:val="24"/>
          <w:szCs w:val="24"/>
          <w:lang w:val="en-US" w:eastAsia="zh-CN"/>
        </w:rPr>
        <w:t>1</w:t>
      </w:r>
      <w:r>
        <w:rPr>
          <w:rFonts w:hint="eastAsia" w:hAnsi="宋体"/>
          <w:b/>
          <w:bCs/>
          <w:sz w:val="24"/>
          <w:szCs w:val="24"/>
        </w:rPr>
        <w:t xml:space="preserve"> 实验室空白实验质控统计表</w:t>
      </w:r>
    </w:p>
    <w:tbl>
      <w:tblPr>
        <w:tblStyle w:val="9"/>
        <w:tblW w:w="49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45"/>
        <w:gridCol w:w="537"/>
        <w:gridCol w:w="3275"/>
        <w:gridCol w:w="1261"/>
        <w:gridCol w:w="1379"/>
        <w:gridCol w:w="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trPr>
        <w:tc>
          <w:tcPr>
            <w:tcW w:w="42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序号</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检测类别及项目</w:t>
            </w:r>
          </w:p>
        </w:tc>
        <w:tc>
          <w:tcPr>
            <w:tcW w:w="5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样品个数</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b/>
                <w:bCs/>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t>检测方法</w:t>
            </w:r>
          </w:p>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（含标准号）</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检出限或最低检出浓度</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b/>
                <w:bCs/>
                <w:color w:val="auto"/>
                <w:sz w:val="20"/>
                <w:szCs w:val="20"/>
                <w:highlight w:val="none"/>
                <w:lang w:val="en-US" w:eastAsia="zh-CN"/>
              </w:rPr>
            </w:pPr>
            <w:r>
              <w:rPr>
                <w:rFonts w:hint="default" w:ascii="Times New Roman" w:hAnsi="Times New Roman" w:cs="Times New Roman"/>
                <w:b/>
                <w:bCs/>
                <w:color w:val="auto"/>
                <w:sz w:val="20"/>
                <w:szCs w:val="20"/>
                <w:highlight w:val="none"/>
                <w:lang w:val="en-US" w:eastAsia="zh-CN"/>
              </w:rPr>
              <w:t>空白实验</w:t>
            </w:r>
          </w:p>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结果</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42" w:leftChars="-20" w:right="-42" w:rightChars="-20"/>
              <w:jc w:val="center"/>
              <w:textAlignment w:val="auto"/>
              <w:rPr>
                <w:rFonts w:hint="default" w:ascii="Times New Roman" w:hAnsi="Times New Roman" w:cs="Times New Roman" w:eastAsiaTheme="minorEastAsia"/>
                <w:szCs w:val="21"/>
              </w:rPr>
            </w:pPr>
            <w:r>
              <w:rPr>
                <w:rFonts w:hint="default" w:ascii="Times New Roman" w:hAnsi="Times New Roman" w:cs="Times New Roman"/>
                <w:b/>
                <w:bCs/>
                <w:color w:val="auto"/>
                <w:sz w:val="20"/>
                <w:szCs w:val="20"/>
                <w:highlight w:val="none"/>
                <w:lang w:val="en-US"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硝基苯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半挥发性有机物的测定 气相色谱-质谱法 HJ834-2017</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0.09m</w:t>
            </w:r>
            <w:r>
              <w:rPr>
                <w:rFonts w:hint="default" w:ascii="Times New Roman" w:hAnsi="Times New Roman" w:cs="Times New Roman"/>
                <w:color w:val="auto"/>
                <w:sz w:val="20"/>
                <w:szCs w:val="20"/>
                <w:highlight w:val="none"/>
              </w:rPr>
              <w:t>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&lt;0.09m</w:t>
            </w:r>
            <w:r>
              <w:rPr>
                <w:rFonts w:hint="default" w:ascii="Times New Roman" w:hAnsi="Times New Roman" w:cs="Times New Roman"/>
                <w:color w:val="auto"/>
                <w:sz w:val="20"/>
                <w:szCs w:val="20"/>
                <w:highlight w:val="none"/>
              </w:rPr>
              <w:t>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苯胺</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半挥发性有机物的测定 气相色谱-质谱法 HJ834-2017</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0.09m</w:t>
            </w:r>
            <w:r>
              <w:rPr>
                <w:rFonts w:hint="default" w:ascii="Times New Roman" w:hAnsi="Times New Roman" w:cs="Times New Roman"/>
                <w:color w:val="auto"/>
                <w:sz w:val="20"/>
                <w:szCs w:val="20"/>
                <w:highlight w:val="none"/>
              </w:rPr>
              <w:t>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&lt;0.09m</w:t>
            </w:r>
            <w:r>
              <w:rPr>
                <w:rFonts w:hint="default" w:ascii="Times New Roman" w:hAnsi="Times New Roman" w:cs="Times New Roman"/>
                <w:color w:val="auto"/>
                <w:sz w:val="20"/>
                <w:szCs w:val="20"/>
                <w:highlight w:val="none"/>
              </w:rPr>
              <w:t>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3</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甲苯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1.9</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&lt;1.9</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5</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邻二甲苯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6</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间+对二甲苯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7</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1.1</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&lt;1.1</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8</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乙苯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9</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氯苯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10</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1.0</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&lt;1.0</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11</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1,4-二氯苯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12</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w:t>
            </w:r>
            <w:r>
              <w:rPr>
                <w:rFonts w:hint="default" w:ascii="Times New Roman" w:hAnsi="Times New Roman" w:cs="Times New Roman"/>
                <w:color w:val="auto"/>
                <w:sz w:val="20"/>
                <w:szCs w:val="20"/>
                <w:highlight w:val="none"/>
                <w:lang w:val="en-US" w:eastAsia="zh-CN"/>
              </w:rPr>
              <w:t>2</w:t>
            </w:r>
            <w:r>
              <w:rPr>
                <w:rFonts w:hint="default" w:ascii="Times New Roman" w:hAnsi="Times New Roman" w:cs="Times New Roman"/>
                <w:color w:val="auto"/>
                <w:sz w:val="20"/>
                <w:szCs w:val="20"/>
                <w:highlight w:val="none"/>
                <w:lang w:eastAsia="zh-CN"/>
              </w:rPr>
              <w:t>-二氯苯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13</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1,1,2-三氯乙烷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14</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1,2,3-三氯丙烷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15</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1,1,1,2-四氯乙烷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16</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1,1,2,2-四氯乙烷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17</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1,1,1-三氯乙烷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18</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三氯乙烯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19</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四氯乙烯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20</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二氯甲烷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21</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1,2-二氯丙烷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1.1</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&lt;1.1</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22</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反-1,2-二氯乙烯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23</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顺-1,2-二氯乙烯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24</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1,1-二氯乙烯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1.0</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&lt;1.0</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25</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1,2-二氯乙烷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26</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1,</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lang w:eastAsia="zh-CN"/>
              </w:rPr>
              <w:t>-二氯乙烷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&lt;1.2</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27</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氯甲烷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1.0</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&lt;1.0</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28</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三氯甲烷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1.1</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&lt;1.1</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29</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四氯化碳</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土壤和沉积物 挥发性有机物的测定 吹扫捕集/气相色谱-质谱法 HJ605-2011</w:t>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30</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2-氯酚</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土壤和沉积物</w:t>
            </w:r>
            <w:r>
              <w:rPr>
                <w:rFonts w:hint="default" w:ascii="Times New Roman" w:hAnsi="Times New Roman" w:cs="Times New Roman"/>
                <w:color w:val="auto"/>
                <w:sz w:val="20"/>
                <w:szCs w:val="20"/>
                <w:highlight w:val="none"/>
                <w:lang w:val="en-US" w:eastAsia="zh-CN"/>
              </w:rPr>
              <w:t xml:space="preserve"> 酚类化合物的测定 气相色谱法 HJ703-2014</w:t>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4</w:t>
            </w:r>
            <w:r>
              <w:rPr>
                <w:rFonts w:hint="default" w:ascii="Times New Roman" w:hAnsi="Times New Roman" w:cs="Times New Roman"/>
                <w:color w:val="auto"/>
                <w:sz w:val="20"/>
                <w:szCs w:val="20"/>
                <w:highlight w:val="none"/>
              </w:rPr>
              <w:t>mg/kg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4</w:t>
            </w:r>
            <w:r>
              <w:rPr>
                <w:rFonts w:hint="default" w:ascii="Times New Roman" w:hAnsi="Times New Roman" w:cs="Times New Roman"/>
                <w:color w:val="auto"/>
                <w:sz w:val="20"/>
                <w:szCs w:val="20"/>
                <w:highlight w:val="none"/>
              </w:rPr>
              <w:t>mg/kg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31</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苯并</w:t>
            </w:r>
            <w:r>
              <w:rPr>
                <w:rFonts w:hint="default" w:ascii="Times New Roman" w:hAnsi="Times New Roman" w:cs="Times New Roman"/>
                <w:color w:val="auto"/>
                <w:sz w:val="20"/>
                <w:szCs w:val="20"/>
                <w:highlight w:val="none"/>
                <w:lang w:val="en-US" w:eastAsia="zh-CN"/>
              </w:rPr>
              <w:t>[a]</w:t>
            </w:r>
            <w:r>
              <w:rPr>
                <w:rFonts w:hint="default" w:ascii="Times New Roman" w:hAnsi="Times New Roman" w:cs="Times New Roman"/>
                <w:color w:val="auto"/>
                <w:sz w:val="20"/>
                <w:szCs w:val="20"/>
                <w:highlight w:val="none"/>
                <w:lang w:eastAsia="zh-CN"/>
              </w:rPr>
              <w:t>蒽</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32</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苯并</w:t>
            </w:r>
            <w:r>
              <w:rPr>
                <w:rFonts w:hint="default" w:ascii="Times New Roman" w:hAnsi="Times New Roman" w:cs="Times New Roman"/>
                <w:color w:val="auto"/>
                <w:sz w:val="20"/>
                <w:szCs w:val="20"/>
                <w:highlight w:val="none"/>
                <w:lang w:val="en-US" w:eastAsia="zh-CN"/>
              </w:rPr>
              <w:t>[a]芘</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33</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苯并</w:t>
            </w:r>
            <w:r>
              <w:rPr>
                <w:rFonts w:hint="default" w:ascii="Times New Roman" w:hAnsi="Times New Roman" w:cs="Times New Roman"/>
                <w:color w:val="auto"/>
                <w:sz w:val="20"/>
                <w:szCs w:val="20"/>
                <w:highlight w:val="none"/>
                <w:lang w:val="en-US" w:eastAsia="zh-CN"/>
              </w:rPr>
              <w:t>[b]荧</w:t>
            </w:r>
            <w:r>
              <w:rPr>
                <w:rFonts w:hint="default" w:ascii="Times New Roman" w:hAnsi="Times New Roman" w:cs="Times New Roman"/>
                <w:color w:val="auto"/>
                <w:sz w:val="20"/>
                <w:szCs w:val="20"/>
                <w:highlight w:val="none"/>
                <w:lang w:eastAsia="zh-CN"/>
              </w:rPr>
              <w:t>蒽</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34</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苯并</w:t>
            </w:r>
            <w:r>
              <w:rPr>
                <w:rFonts w:hint="default" w:ascii="Times New Roman" w:hAnsi="Times New Roman" w:cs="Times New Roman"/>
                <w:color w:val="auto"/>
                <w:sz w:val="20"/>
                <w:szCs w:val="20"/>
                <w:highlight w:val="none"/>
                <w:lang w:val="en-US" w:eastAsia="zh-CN"/>
              </w:rPr>
              <w:t>[k]荧</w:t>
            </w:r>
            <w:r>
              <w:rPr>
                <w:rFonts w:hint="default" w:ascii="Times New Roman" w:hAnsi="Times New Roman" w:cs="Times New Roman"/>
                <w:color w:val="auto"/>
                <w:sz w:val="20"/>
                <w:szCs w:val="20"/>
                <w:highlight w:val="none"/>
                <w:lang w:eastAsia="zh-CN"/>
              </w:rPr>
              <w:t>蒽</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&lt;0.4</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35</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䓛</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36</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萘</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&lt;3</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37</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二苯并[a、h]蒽</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38</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茚并[1,2,3-cd]芘</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fldChar w:fldCharType="begin"/>
            </w:r>
            <w:r>
              <w:rPr>
                <w:rFonts w:hint="default" w:ascii="Times New Roman" w:hAnsi="Times New Roman" w:cs="Times New Roman"/>
                <w:color w:val="auto"/>
                <w:sz w:val="20"/>
                <w:szCs w:val="20"/>
                <w:highlight w:val="none"/>
                <w:lang w:val="en-US" w:eastAsia="zh-CN"/>
              </w:rPr>
              <w:instrText xml:space="preserve"> HYPERLINK "http://kjs.mep.gov.cn/hjbhbz/bzwb/trhj/trjcgfffbz/201602/t20160217_330303.shtml" \o "" </w:instrText>
            </w:r>
            <w:r>
              <w:rPr>
                <w:rFonts w:hint="default" w:ascii="Times New Roman" w:hAnsi="Times New Roman" w:cs="Times New Roman"/>
                <w:color w:val="auto"/>
                <w:sz w:val="20"/>
                <w:szCs w:val="20"/>
                <w:highlight w:val="none"/>
                <w:lang w:val="en-US" w:eastAsia="zh-CN"/>
              </w:rPr>
              <w:fldChar w:fldCharType="separate"/>
            </w:r>
            <w:r>
              <w:rPr>
                <w:rFonts w:hint="default" w:ascii="Times New Roman" w:hAnsi="Times New Roman" w:cs="Times New Roman"/>
                <w:color w:val="auto"/>
                <w:sz w:val="20"/>
                <w:szCs w:val="20"/>
                <w:highlight w:val="none"/>
                <w:lang w:val="en-US" w:eastAsia="zh-CN"/>
              </w:rPr>
              <w:t>土壤和沉积物 多环芳烃的测定 高效液相色谱法 HJ 784-2016</w:t>
            </w:r>
            <w:r>
              <w:rPr>
                <w:rFonts w:hint="default" w:ascii="Times New Roman" w:hAnsi="Times New Roman" w:cs="Times New Roman"/>
                <w:color w:val="auto"/>
                <w:sz w:val="20"/>
                <w:szCs w:val="20"/>
                <w:highlight w:val="none"/>
                <w:lang w:val="en-US" w:eastAsia="zh-CN"/>
              </w:rPr>
              <w:fldChar w:fldCharType="end"/>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&lt;0.5</w:t>
            </w:r>
            <w:r>
              <w:rPr>
                <w:rFonts w:hint="default" w:ascii="Times New Roman" w:hAnsi="Times New Roman" w:cs="Times New Roman"/>
                <w:color w:val="auto"/>
                <w:sz w:val="20"/>
                <w:szCs w:val="20"/>
                <w:highlight w:val="none"/>
              </w:rPr>
              <w:t>µg/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39</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汞</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土壤和沉积物</w:t>
            </w:r>
            <w:r>
              <w:rPr>
                <w:rFonts w:hint="default" w:ascii="Times New Roman" w:hAnsi="Times New Roman" w:cs="Times New Roman"/>
                <w:color w:val="auto"/>
                <w:sz w:val="20"/>
                <w:szCs w:val="20"/>
                <w:highlight w:val="none"/>
                <w:lang w:val="en-US" w:eastAsia="zh-CN"/>
              </w:rPr>
              <w:t xml:space="preserve">  汞、砷、硒、铋、锑的测定 微波消解/原子荧光法</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HJ680-2013</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0.002mg/kg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0.002mg/kg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40</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土壤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土壤和沉积物</w:t>
            </w:r>
            <w:r>
              <w:rPr>
                <w:rFonts w:hint="default" w:ascii="Times New Roman" w:hAnsi="Times New Roman" w:cs="Times New Roman"/>
                <w:color w:val="auto"/>
                <w:sz w:val="20"/>
                <w:szCs w:val="20"/>
                <w:highlight w:val="none"/>
                <w:lang w:val="en-US" w:eastAsia="zh-CN"/>
              </w:rPr>
              <w:t xml:space="preserve">  汞、砷、硒、铋、锑的测定 微波消解/原子荧光法</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HJ680-2013</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41</w:t>
            </w:r>
          </w:p>
        </w:tc>
        <w:tc>
          <w:tcPr>
            <w:tcW w:w="1045"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铜</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土壤和沉积物</w:t>
            </w:r>
            <w:r>
              <w:rPr>
                <w:rFonts w:hint="default" w:ascii="Times New Roman" w:hAnsi="Times New Roman" w:cs="Times New Roman"/>
                <w:color w:val="auto"/>
                <w:sz w:val="20"/>
                <w:szCs w:val="20"/>
                <w:highlight w:val="none"/>
                <w:lang w:val="en-US" w:eastAsia="zh-CN"/>
              </w:rPr>
              <w:t xml:space="preserve"> 铜、锌、铅、镍、铬的测定 火焰原子吸收分光光度法</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HJ 491-2019</w:t>
            </w:r>
          </w:p>
        </w:tc>
        <w:tc>
          <w:tcPr>
            <w:tcW w:w="1261"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mg/kg</w:t>
            </w:r>
          </w:p>
        </w:tc>
        <w:tc>
          <w:tcPr>
            <w:tcW w:w="1379" w:type="dxa"/>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w:t>
            </w:r>
            <w:r>
              <w:rPr>
                <w:rFonts w:hint="default" w:ascii="Times New Roman" w:hAnsi="Times New Roman" w:cs="Times New Roman"/>
                <w:color w:val="auto"/>
                <w:sz w:val="20"/>
                <w:szCs w:val="20"/>
                <w:highlight w:val="none"/>
              </w:rPr>
              <w:t>mg/kg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42</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镉</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土壤质量</w:t>
            </w:r>
            <w:r>
              <w:rPr>
                <w:rFonts w:hint="default" w:ascii="Times New Roman" w:hAnsi="Times New Roman" w:cs="Times New Roman"/>
                <w:color w:val="auto"/>
                <w:sz w:val="20"/>
                <w:szCs w:val="20"/>
                <w:highlight w:val="none"/>
                <w:lang w:val="en-US" w:eastAsia="zh-CN"/>
              </w:rPr>
              <w:t xml:space="preserve"> 铅镉的测定 石墨炉原子吸收分光光度法</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GB/T17141-1997</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010</w:t>
            </w:r>
            <w:r>
              <w:rPr>
                <w:rFonts w:hint="default" w:ascii="Times New Roman" w:hAnsi="Times New Roman" w:cs="Times New Roman"/>
                <w:color w:val="auto"/>
                <w:sz w:val="20"/>
                <w:szCs w:val="20"/>
                <w:highlight w:val="none"/>
              </w:rPr>
              <w:t>mg/kg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010</w:t>
            </w:r>
            <w:r>
              <w:rPr>
                <w:rFonts w:hint="default" w:ascii="Times New Roman" w:hAnsi="Times New Roman" w:cs="Times New Roman"/>
                <w:color w:val="auto"/>
                <w:sz w:val="20"/>
                <w:szCs w:val="20"/>
                <w:highlight w:val="none"/>
              </w:rPr>
              <w:t>mg/kg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43</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六价铬</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土壤和沉积物 六价铬的测定 碱溶液提取-火焰原子吸收分光光度法 HJ1082-2019</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0.5m</w:t>
            </w:r>
            <w:r>
              <w:rPr>
                <w:rFonts w:hint="default" w:ascii="Times New Roman" w:hAnsi="Times New Roman" w:cs="Times New Roman"/>
                <w:color w:val="auto"/>
                <w:sz w:val="20"/>
                <w:szCs w:val="20"/>
                <w:highlight w:val="none"/>
              </w:rPr>
              <w:t>g</w:t>
            </w:r>
            <w:r>
              <w:rPr>
                <w:rFonts w:hint="default" w:ascii="Times New Roman" w:hAnsi="Times New Roman" w:cs="Times New Roman"/>
                <w:color w:val="auto"/>
                <w:sz w:val="20"/>
                <w:szCs w:val="20"/>
                <w:highlight w:val="none"/>
                <w:lang w:val="en-US" w:eastAsia="zh-CN"/>
              </w:rPr>
              <w:t>/kg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&lt;0.5m</w:t>
            </w:r>
            <w:r>
              <w:rPr>
                <w:rFonts w:hint="default" w:ascii="Times New Roman" w:hAnsi="Times New Roman" w:cs="Times New Roman"/>
                <w:color w:val="auto"/>
                <w:sz w:val="20"/>
                <w:szCs w:val="20"/>
                <w:highlight w:val="none"/>
              </w:rPr>
              <w:t>g</w:t>
            </w:r>
            <w:r>
              <w:rPr>
                <w:rFonts w:hint="default" w:ascii="Times New Roman" w:hAnsi="Times New Roman" w:cs="Times New Roman"/>
                <w:color w:val="auto"/>
                <w:sz w:val="20"/>
                <w:szCs w:val="20"/>
                <w:highlight w:val="none"/>
                <w:lang w:val="en-US" w:eastAsia="zh-CN"/>
              </w:rPr>
              <w:t>/kg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44</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铅</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土壤和沉积物</w:t>
            </w:r>
            <w:r>
              <w:rPr>
                <w:rFonts w:hint="default" w:ascii="Times New Roman" w:hAnsi="Times New Roman" w:cs="Times New Roman"/>
                <w:color w:val="auto"/>
                <w:sz w:val="20"/>
                <w:szCs w:val="20"/>
                <w:highlight w:val="none"/>
                <w:lang w:val="en-US" w:eastAsia="zh-CN"/>
              </w:rPr>
              <w:t xml:space="preserve"> 铜、锌、铅、镍、铬的测定 火焰原子吸收分光光度法</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HJ 491-2019</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10</w:t>
            </w:r>
            <w:r>
              <w:rPr>
                <w:rFonts w:hint="default" w:ascii="Times New Roman" w:hAnsi="Times New Roman" w:cs="Times New Roman"/>
                <w:color w:val="auto"/>
                <w:sz w:val="20"/>
                <w:szCs w:val="20"/>
                <w:highlight w:val="none"/>
              </w:rPr>
              <w:t>mg/kg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&lt;10</w:t>
            </w:r>
            <w:r>
              <w:rPr>
                <w:rFonts w:hint="default" w:ascii="Times New Roman" w:hAnsi="Times New Roman" w:cs="Times New Roman"/>
                <w:color w:val="auto"/>
                <w:sz w:val="20"/>
                <w:szCs w:val="20"/>
                <w:highlight w:val="none"/>
              </w:rPr>
              <w:t>mg/kg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45</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土壤</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镍</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21</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土壤和沉积物</w:t>
            </w:r>
            <w:r>
              <w:rPr>
                <w:rFonts w:hint="default" w:ascii="Times New Roman" w:hAnsi="Times New Roman" w:cs="Times New Roman"/>
                <w:color w:val="auto"/>
                <w:sz w:val="20"/>
                <w:szCs w:val="20"/>
                <w:highlight w:val="none"/>
                <w:lang w:val="en-US" w:eastAsia="zh-CN"/>
              </w:rPr>
              <w:t xml:space="preserve"> 铜、锌、铅、镍、铬的测定 火焰原子吸收分光光度法</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HJ 491-2019</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3</w:t>
            </w:r>
            <w:r>
              <w:rPr>
                <w:rFonts w:hint="default" w:ascii="Times New Roman" w:hAnsi="Times New Roman" w:cs="Times New Roman"/>
                <w:color w:val="auto"/>
                <w:sz w:val="20"/>
                <w:szCs w:val="20"/>
                <w:highlight w:val="none"/>
              </w:rPr>
              <w:t>mg/kg</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&lt;3</w:t>
            </w:r>
            <w:r>
              <w:rPr>
                <w:rFonts w:hint="default" w:ascii="Times New Roman" w:hAnsi="Times New Roman" w:cs="Times New Roman"/>
                <w:color w:val="auto"/>
                <w:sz w:val="20"/>
                <w:szCs w:val="20"/>
                <w:highlight w:val="none"/>
              </w:rPr>
              <w:t>mg/kg</w:t>
            </w:r>
          </w:p>
        </w:tc>
        <w:tc>
          <w:tcPr>
            <w:tcW w:w="4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u w:val="none"/>
                <w:lang w:val="en-US" w:eastAsia="zh-CN" w:bidi="ar"/>
              </w:rPr>
              <w:t>46</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钠</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钾和钠的测定 火焰原子吸收分光光度法GB11904-89</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0.01</w:t>
            </w:r>
            <w:r>
              <w:rPr>
                <w:rFonts w:hint="default" w:ascii="Times New Roman" w:hAnsi="Times New Roman" w:cs="Times New Roman"/>
                <w:color w:val="auto"/>
                <w:sz w:val="20"/>
                <w:szCs w:val="20"/>
                <w:highlight w:val="none"/>
                <w:lang w:val="en-US" w:eastAsia="zh-CN"/>
              </w:rPr>
              <w:t>0</w:t>
            </w:r>
            <w:r>
              <w:rPr>
                <w:rFonts w:hint="default" w:ascii="Times New Roman" w:hAnsi="Times New Roman" w:cs="Times New Roman"/>
                <w:color w:val="auto"/>
                <w:sz w:val="20"/>
                <w:szCs w:val="20"/>
                <w:highlight w:val="none"/>
              </w:rPr>
              <w:t>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0.01</w:t>
            </w:r>
            <w:r>
              <w:rPr>
                <w:rFonts w:hint="default" w:ascii="Times New Roman" w:hAnsi="Times New Roman" w:cs="Times New Roman"/>
                <w:color w:val="auto"/>
                <w:sz w:val="20"/>
                <w:szCs w:val="20"/>
                <w:highlight w:val="none"/>
                <w:lang w:val="en-US" w:eastAsia="zh-CN"/>
              </w:rPr>
              <w:t>0</w:t>
            </w:r>
            <w:r>
              <w:rPr>
                <w:rFonts w:hint="default" w:ascii="Times New Roman" w:hAnsi="Times New Roman" w:cs="Times New Roman"/>
                <w:color w:val="auto"/>
                <w:sz w:val="20"/>
                <w:szCs w:val="20"/>
                <w:highlight w:val="none"/>
              </w:rPr>
              <w:t>mg/L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47</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氨氮</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水质 氨氮的测定 纳氏试剂分光光度法HJ535-2009</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0.025mg/L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0.025mg/L</w:t>
            </w:r>
          </w:p>
        </w:tc>
        <w:tc>
          <w:tcPr>
            <w:tcW w:w="440" w:type="dxa"/>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48</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铜</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石墨炉原子吸收法测定镉铜铅</w:t>
            </w:r>
            <w:r>
              <w:rPr>
                <w:rFonts w:hint="default" w:ascii="Times New Roman" w:hAnsi="Times New Roman" w:cs="Times New Roman"/>
                <w:color w:val="auto"/>
                <w:sz w:val="20"/>
                <w:szCs w:val="20"/>
                <w:highlight w:val="none"/>
              </w:rPr>
              <w:t>《水和废水监测分析方法》（第四版</w:t>
            </w:r>
            <w:r>
              <w:rPr>
                <w:rFonts w:hint="default" w:ascii="Times New Roman" w:hAnsi="Times New Roman" w:cs="Times New Roman"/>
                <w:color w:val="auto"/>
                <w:sz w:val="20"/>
                <w:szCs w:val="20"/>
                <w:highlight w:val="none"/>
                <w:lang w:eastAsia="zh-CN"/>
              </w:rPr>
              <w:t>增补版</w:t>
            </w:r>
            <w:r>
              <w:rPr>
                <w:rFonts w:hint="default" w:ascii="Times New Roman" w:hAnsi="Times New Roman" w:cs="Times New Roman"/>
                <w:color w:val="auto"/>
                <w:sz w:val="20"/>
                <w:szCs w:val="20"/>
                <w:highlight w:val="none"/>
              </w:rPr>
              <w:t>）国家环保总局（2002年）</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1.00</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&lt;1.00</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49</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锌</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铜铅锌镉的测定 原子吸收分光光度法GB/T 7475-1987</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50</w:t>
            </w:r>
            <w:r>
              <w:rPr>
                <w:rFonts w:hint="default" w:ascii="Times New Roman" w:hAnsi="Times New Roman" w:cs="Times New Roman"/>
                <w:color w:val="auto"/>
                <w:sz w:val="20"/>
                <w:szCs w:val="20"/>
                <w:highlight w:val="none"/>
              </w:rPr>
              <w:t>mg/L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50</w:t>
            </w:r>
            <w:r>
              <w:rPr>
                <w:rFonts w:hint="default" w:ascii="Times New Roman" w:hAnsi="Times New Roman" w:cs="Times New Roman"/>
                <w:color w:val="auto"/>
                <w:sz w:val="20"/>
                <w:szCs w:val="20"/>
                <w:highlight w:val="none"/>
              </w:rPr>
              <w:t>mg/L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50</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铁</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水质 32种元素的测定 电感耦合等离子体发射光谱法HJ776-2015</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51</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eastAsia="zh-CN"/>
              </w:rPr>
              <w:t>锰</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水质 32种元素的测定 电感耦合等离子体发射光谱法HJ776-2015</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1</w:t>
            </w:r>
            <w:r>
              <w:rPr>
                <w:rFonts w:hint="default" w:ascii="Times New Roman" w:hAnsi="Times New Roman" w:cs="Times New Roman"/>
                <w:color w:val="auto"/>
                <w:sz w:val="20"/>
                <w:szCs w:val="20"/>
                <w:highlight w:val="none"/>
              </w:rPr>
              <w:t>mg/L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u w:val="none"/>
                <w:lang w:val="en-US" w:eastAsia="zh-CN" w:bidi="ar"/>
              </w:rPr>
              <w:t>52</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水质</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镉</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石墨炉原子吸收法测定镉铜铅《水和废水监测分析方法》（第四版增补版）国家环保总局（2002年）</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0.100μg/L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&lt;0.100μg/L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u w:val="none"/>
                <w:lang w:val="en-US" w:eastAsia="zh-CN" w:bidi="ar"/>
              </w:rPr>
              <w:t>53</w:t>
            </w:r>
          </w:p>
        </w:tc>
        <w:tc>
          <w:tcPr>
            <w:tcW w:w="104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六价铬</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六价铬的测定 </w:t>
            </w:r>
            <w:r>
              <w:rPr>
                <w:rFonts w:hint="default" w:ascii="Times New Roman" w:hAnsi="Times New Roman" w:cs="Times New Roman"/>
                <w:color w:val="auto"/>
                <w:sz w:val="20"/>
                <w:szCs w:val="20"/>
                <w:highlight w:val="none"/>
              </w:rPr>
              <w:t>二苯碳酰二肼分光光度法GB7467-87</w:t>
            </w:r>
          </w:p>
        </w:tc>
        <w:tc>
          <w:tcPr>
            <w:tcW w:w="1261"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0.004mg/L</w:t>
            </w:r>
          </w:p>
        </w:tc>
        <w:tc>
          <w:tcPr>
            <w:tcW w:w="1379"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0.004mg/L</w:t>
            </w:r>
          </w:p>
        </w:tc>
        <w:tc>
          <w:tcPr>
            <w:tcW w:w="440"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u w:val="none"/>
                <w:lang w:val="en-US" w:eastAsia="zh-CN" w:bidi="ar"/>
              </w:rPr>
              <w:t>54</w:t>
            </w:r>
          </w:p>
        </w:tc>
        <w:tc>
          <w:tcPr>
            <w:tcW w:w="104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铅</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石墨炉原子吸收法测定镉铜铅</w:t>
            </w:r>
            <w:r>
              <w:rPr>
                <w:rFonts w:hint="default" w:ascii="Times New Roman" w:hAnsi="Times New Roman" w:cs="Times New Roman"/>
                <w:color w:val="auto"/>
                <w:sz w:val="20"/>
                <w:szCs w:val="20"/>
                <w:highlight w:val="none"/>
              </w:rPr>
              <w:t>《水和废水监测分析方法》（第四版</w:t>
            </w:r>
            <w:r>
              <w:rPr>
                <w:rFonts w:hint="default" w:ascii="Times New Roman" w:hAnsi="Times New Roman" w:cs="Times New Roman"/>
                <w:color w:val="auto"/>
                <w:sz w:val="20"/>
                <w:szCs w:val="20"/>
                <w:highlight w:val="none"/>
                <w:lang w:eastAsia="zh-CN"/>
              </w:rPr>
              <w:t>增补版</w:t>
            </w:r>
            <w:r>
              <w:rPr>
                <w:rFonts w:hint="default" w:ascii="Times New Roman" w:hAnsi="Times New Roman" w:cs="Times New Roman"/>
                <w:color w:val="auto"/>
                <w:sz w:val="20"/>
                <w:szCs w:val="20"/>
                <w:highlight w:val="none"/>
              </w:rPr>
              <w:t>）国家环保总局（2002年）</w:t>
            </w:r>
          </w:p>
        </w:tc>
        <w:tc>
          <w:tcPr>
            <w:tcW w:w="1261"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1.00</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&lt;1.00</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color w:val="000000"/>
                <w:szCs w:val="21"/>
              </w:rPr>
            </w:pPr>
            <w:r>
              <w:rPr>
                <w:rFonts w:hint="default" w:ascii="Times New Roman" w:hAnsi="Times New Roman" w:eastAsia="宋体" w:cs="Times New Roman"/>
                <w:i w:val="0"/>
                <w:color w:val="auto"/>
                <w:kern w:val="0"/>
                <w:sz w:val="18"/>
                <w:szCs w:val="18"/>
                <w:highlight w:val="none"/>
                <w:u w:val="none"/>
                <w:lang w:val="en-US" w:eastAsia="zh-CN" w:bidi="ar"/>
              </w:rPr>
              <w:t>55</w:t>
            </w:r>
          </w:p>
        </w:tc>
        <w:tc>
          <w:tcPr>
            <w:tcW w:w="104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亚硝酸盐</w:t>
            </w:r>
            <w:r>
              <w:rPr>
                <w:rFonts w:hint="default" w:ascii="Times New Roman" w:hAnsi="Times New Roman" w:cs="Times New Roman"/>
                <w:color w:val="auto"/>
                <w:sz w:val="20"/>
                <w:szCs w:val="20"/>
                <w:highlight w:val="none"/>
              </w:rPr>
              <w:t>氮</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亚硝酸盐氮的测定 分光光度法</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GB7493-87</w:t>
            </w:r>
          </w:p>
        </w:tc>
        <w:tc>
          <w:tcPr>
            <w:tcW w:w="1261"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03</w:t>
            </w:r>
            <w:r>
              <w:rPr>
                <w:rFonts w:hint="default" w:ascii="Times New Roman" w:hAnsi="Times New Roman" w:cs="Times New Roman"/>
                <w:color w:val="auto"/>
                <w:sz w:val="20"/>
                <w:szCs w:val="20"/>
                <w:highlight w:val="none"/>
              </w:rPr>
              <w:t>mg/L</w:t>
            </w:r>
          </w:p>
        </w:tc>
        <w:tc>
          <w:tcPr>
            <w:tcW w:w="1379"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03</w:t>
            </w:r>
            <w:r>
              <w:rPr>
                <w:rFonts w:hint="default" w:ascii="Times New Roman" w:hAnsi="Times New Roman" w:cs="Times New Roman"/>
                <w:color w:val="auto"/>
                <w:sz w:val="20"/>
                <w:szCs w:val="20"/>
                <w:highlight w:val="none"/>
              </w:rPr>
              <w:t>mg/L</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56</w:t>
            </w:r>
          </w:p>
        </w:tc>
        <w:tc>
          <w:tcPr>
            <w:tcW w:w="104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水质</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菌落总数</w:t>
            </w:r>
          </w:p>
        </w:tc>
        <w:tc>
          <w:tcPr>
            <w:tcW w:w="537"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3</w:t>
            </w:r>
          </w:p>
        </w:tc>
        <w:tc>
          <w:tcPr>
            <w:tcW w:w="327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1.1平皿计数法  生活饮用水标准检验方法微生物指标GB/T5750.12-2006</w:t>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未检出</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57</w:t>
            </w:r>
          </w:p>
        </w:tc>
        <w:tc>
          <w:tcPr>
            <w:tcW w:w="104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水质</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总大肠菌群</w:t>
            </w:r>
          </w:p>
        </w:tc>
        <w:tc>
          <w:tcPr>
            <w:tcW w:w="537"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3</w:t>
            </w:r>
          </w:p>
        </w:tc>
        <w:tc>
          <w:tcPr>
            <w:tcW w:w="327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2.1多管发酵法 生活饮用水标准检验方法微生物指标GB/T5750.12-2006</w:t>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未检出</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58</w:t>
            </w:r>
          </w:p>
        </w:tc>
        <w:tc>
          <w:tcPr>
            <w:tcW w:w="104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浊度</w:t>
            </w:r>
          </w:p>
        </w:tc>
        <w:tc>
          <w:tcPr>
            <w:tcW w:w="537"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3</w:t>
            </w:r>
          </w:p>
        </w:tc>
        <w:tc>
          <w:tcPr>
            <w:tcW w:w="3275"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水质 浊度的测定 浊度计法 HJ 1075-2019</w:t>
            </w:r>
          </w:p>
        </w:tc>
        <w:tc>
          <w:tcPr>
            <w:tcW w:w="1261"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0.3NTU</w:t>
            </w:r>
          </w:p>
        </w:tc>
        <w:tc>
          <w:tcPr>
            <w:tcW w:w="1379" w:type="dxa"/>
            <w:vAlign w:val="center"/>
          </w:tcPr>
          <w:p>
            <w:pPr>
              <w:keepNext w:val="0"/>
              <w:keepLines w:val="0"/>
              <w:pageBreakBefore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eastAsia="宋体" w:cs="Times New Roman"/>
                <w:color w:val="auto"/>
                <w:kern w:val="2"/>
                <w:sz w:val="20"/>
                <w:szCs w:val="20"/>
                <w:highlight w:val="none"/>
                <w:lang w:val="en-US" w:eastAsia="zh-CN" w:bidi="ar-SA"/>
              </w:rPr>
              <w:t>0.3NTU</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59</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highlight w:val="yellow"/>
              </w:rPr>
            </w:pPr>
            <w:r>
              <w:rPr>
                <w:rFonts w:hint="default" w:ascii="Times New Roman" w:hAnsi="Times New Roman" w:cs="Times New Roman"/>
                <w:color w:val="auto"/>
                <w:sz w:val="20"/>
                <w:szCs w:val="20"/>
                <w:highlight w:val="none"/>
                <w:lang w:val="en-US" w:eastAsia="zh-CN"/>
              </w:rPr>
              <w:t>铝</w:t>
            </w:r>
          </w:p>
        </w:tc>
        <w:tc>
          <w:tcPr>
            <w:tcW w:w="537" w:type="dxa"/>
            <w:vAlign w:val="center"/>
          </w:tcPr>
          <w:p>
            <w:pPr>
              <w:jc w:val="center"/>
              <w:rPr>
                <w:rFonts w:hint="default" w:ascii="Times New Roman" w:hAnsi="Times New Roman" w:cs="Times New Roman" w:eastAsiaTheme="minorEastAsia"/>
                <w:szCs w:val="21"/>
                <w:highlight w:val="yellow"/>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highlight w:val="yellow"/>
              </w:rPr>
            </w:pPr>
            <w:r>
              <w:rPr>
                <w:rFonts w:hint="default" w:ascii="Times New Roman" w:hAnsi="Times New Roman" w:cs="Times New Roman"/>
                <w:color w:val="auto"/>
                <w:sz w:val="20"/>
                <w:szCs w:val="20"/>
                <w:highlight w:val="none"/>
              </w:rPr>
              <w:t>水质</w:t>
            </w:r>
            <w:r>
              <w:rPr>
                <w:rFonts w:hint="default" w:ascii="Times New Roman" w:hAnsi="Times New Roman" w:cs="Times New Roman"/>
                <w:color w:val="auto"/>
                <w:sz w:val="20"/>
                <w:szCs w:val="20"/>
                <w:highlight w:val="none"/>
                <w:lang w:val="en-US" w:eastAsia="zh-CN"/>
              </w:rPr>
              <w:t xml:space="preserve"> 32种元素的测定</w:t>
            </w:r>
            <w:r>
              <w:rPr>
                <w:rFonts w:hint="default" w:ascii="Times New Roman" w:hAnsi="Times New Roman" w:cs="Times New Roman"/>
                <w:color w:val="auto"/>
                <w:sz w:val="20"/>
                <w:szCs w:val="20"/>
                <w:highlight w:val="none"/>
              </w:rPr>
              <w:t xml:space="preserve"> </w:t>
            </w:r>
            <w:r>
              <w:rPr>
                <w:rFonts w:hint="default" w:ascii="Times New Roman" w:hAnsi="Times New Roman" w:cs="Times New Roman"/>
                <w:color w:val="auto"/>
                <w:sz w:val="20"/>
                <w:szCs w:val="20"/>
                <w:highlight w:val="none"/>
                <w:lang w:val="en-US" w:eastAsia="zh-CN"/>
              </w:rPr>
              <w:t>电感耦合等离子体发射光谱法 HJ776-2015</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0.00</w:t>
            </w:r>
            <w:r>
              <w:rPr>
                <w:rFonts w:hint="default" w:ascii="Times New Roman" w:hAnsi="Times New Roman" w:cs="Times New Roman"/>
                <w:color w:val="auto"/>
                <w:sz w:val="20"/>
                <w:szCs w:val="20"/>
                <w:highlight w:val="none"/>
                <w:lang w:val="en-US" w:eastAsia="zh-CN"/>
              </w:rPr>
              <w:t>9</w:t>
            </w:r>
            <w:r>
              <w:rPr>
                <w:rFonts w:hint="default" w:ascii="Times New Roman" w:hAnsi="Times New Roman" w:cs="Times New Roman"/>
                <w:color w:val="auto"/>
                <w:sz w:val="20"/>
                <w:szCs w:val="20"/>
                <w:highlight w:val="none"/>
              </w:rPr>
              <w:t>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0.00</w:t>
            </w:r>
            <w:r>
              <w:rPr>
                <w:rFonts w:hint="default" w:ascii="Times New Roman" w:hAnsi="Times New Roman" w:cs="Times New Roman"/>
                <w:color w:val="auto"/>
                <w:sz w:val="20"/>
                <w:szCs w:val="20"/>
                <w:highlight w:val="none"/>
                <w:lang w:val="en-US" w:eastAsia="zh-CN"/>
              </w:rPr>
              <w:t>9</w:t>
            </w:r>
            <w:r>
              <w:rPr>
                <w:rFonts w:hint="default" w:ascii="Times New Roman" w:hAnsi="Times New Roman" w:cs="Times New Roman"/>
                <w:color w:val="auto"/>
                <w:sz w:val="20"/>
                <w:szCs w:val="20"/>
                <w:highlight w:val="none"/>
              </w:rPr>
              <w:t>mg/L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60</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highlight w:val="yellow"/>
              </w:rPr>
            </w:pPr>
            <w:r>
              <w:rPr>
                <w:rFonts w:hint="default" w:ascii="Times New Roman" w:hAnsi="Times New Roman" w:cs="Times New Roman"/>
                <w:color w:val="auto"/>
                <w:sz w:val="20"/>
                <w:szCs w:val="20"/>
                <w:highlight w:val="none"/>
              </w:rPr>
              <w:t>挥发酚</w:t>
            </w:r>
          </w:p>
        </w:tc>
        <w:tc>
          <w:tcPr>
            <w:tcW w:w="537" w:type="dxa"/>
            <w:vAlign w:val="center"/>
          </w:tcPr>
          <w:p>
            <w:pPr>
              <w:jc w:val="center"/>
              <w:rPr>
                <w:rFonts w:hint="default" w:ascii="Times New Roman" w:hAnsi="Times New Roman" w:cs="Times New Roman" w:eastAsiaTheme="minorEastAsia"/>
                <w:szCs w:val="21"/>
                <w:highlight w:val="yellow"/>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highlight w:val="yellow"/>
              </w:rPr>
            </w:pPr>
            <w:r>
              <w:rPr>
                <w:rFonts w:hint="default" w:ascii="Times New Roman" w:hAnsi="Times New Roman" w:cs="Times New Roman"/>
                <w:color w:val="auto"/>
                <w:sz w:val="20"/>
                <w:szCs w:val="20"/>
                <w:highlight w:val="none"/>
                <w:lang w:val="en-US" w:eastAsia="zh-CN"/>
              </w:rPr>
              <w:t>水质 挥发酚的测定  4-氨基安替比林分光光度法   HJ503-2009</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0003</w:t>
            </w:r>
            <w:r>
              <w:rPr>
                <w:rFonts w:hint="default" w:ascii="Times New Roman" w:hAnsi="Times New Roman" w:cs="Times New Roman"/>
                <w:color w:val="auto"/>
                <w:sz w:val="20"/>
                <w:szCs w:val="20"/>
                <w:highlight w:val="none"/>
              </w:rPr>
              <w:t>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w:t>
            </w:r>
            <w:r>
              <w:rPr>
                <w:rFonts w:hint="default" w:ascii="Times New Roman" w:hAnsi="Times New Roman" w:cs="Times New Roman"/>
                <w:color w:val="auto"/>
                <w:sz w:val="20"/>
                <w:szCs w:val="20"/>
                <w:highlight w:val="none"/>
                <w:lang w:val="en-US" w:eastAsia="zh-CN"/>
              </w:rPr>
              <w:t>0003</w:t>
            </w:r>
            <w:r>
              <w:rPr>
                <w:rFonts w:hint="default" w:ascii="Times New Roman" w:hAnsi="Times New Roman" w:cs="Times New Roman"/>
                <w:color w:val="auto"/>
                <w:sz w:val="20"/>
                <w:szCs w:val="20"/>
                <w:highlight w:val="none"/>
              </w:rPr>
              <w:t>mg/L</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61</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阴离子表面活性剂</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亚甲蓝分光光度法</w:t>
            </w:r>
            <w:r>
              <w:rPr>
                <w:rFonts w:hint="default" w:ascii="Times New Roman" w:hAnsi="Times New Roman" w:cs="Times New Roman"/>
                <w:color w:val="auto"/>
                <w:sz w:val="20"/>
                <w:szCs w:val="20"/>
                <w:highlight w:val="none"/>
                <w:lang w:val="en-US" w:eastAsia="zh-CN"/>
              </w:rPr>
              <w:t xml:space="preserve"> 《</w:t>
            </w:r>
            <w:r>
              <w:rPr>
                <w:rFonts w:hint="default" w:ascii="Times New Roman" w:hAnsi="Times New Roman" w:cs="Times New Roman"/>
                <w:color w:val="auto"/>
                <w:sz w:val="20"/>
                <w:szCs w:val="20"/>
                <w:highlight w:val="none"/>
                <w:lang w:eastAsia="zh-CN"/>
              </w:rPr>
              <w:t>水和废水监测分析方法》第四版增补版</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0.050mg/L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0.050mg/L</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u w:val="none"/>
                <w:lang w:val="en-US" w:eastAsia="zh-CN" w:bidi="ar"/>
              </w:rPr>
              <w:t>62</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硫化物</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水质 硫化物的测定 亚甲基蓝分光光度法GB/T16489-1996</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0</w:t>
            </w:r>
            <w:r>
              <w:rPr>
                <w:rFonts w:hint="default" w:ascii="Times New Roman" w:hAnsi="Times New Roman" w:cs="Times New Roman"/>
                <w:color w:val="auto"/>
                <w:sz w:val="20"/>
                <w:szCs w:val="20"/>
                <w:highlight w:val="none"/>
              </w:rPr>
              <w:t>5mg/L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w:t>
            </w:r>
            <w:r>
              <w:rPr>
                <w:rFonts w:hint="default" w:ascii="Times New Roman" w:hAnsi="Times New Roman" w:cs="Times New Roman"/>
                <w:color w:val="auto"/>
                <w:sz w:val="20"/>
                <w:szCs w:val="20"/>
                <w:highlight w:val="none"/>
                <w:lang w:val="en-US" w:eastAsia="zh-CN"/>
              </w:rPr>
              <w:t>0</w:t>
            </w:r>
            <w:r>
              <w:rPr>
                <w:rFonts w:hint="default" w:ascii="Times New Roman" w:hAnsi="Times New Roman" w:cs="Times New Roman"/>
                <w:color w:val="auto"/>
                <w:sz w:val="20"/>
                <w:szCs w:val="20"/>
                <w:highlight w:val="none"/>
              </w:rPr>
              <w:t>5mg/L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u w:val="none"/>
                <w:lang w:val="en-US" w:eastAsia="zh-CN" w:bidi="ar"/>
              </w:rPr>
              <w:t>63</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氰化物</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水质 氰化物的测定 容量法和分光光度法HJ484-2009</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0.00</w:t>
            </w:r>
            <w:r>
              <w:rPr>
                <w:rFonts w:hint="default" w:ascii="Times New Roman" w:hAnsi="Times New Roman" w:cs="Times New Roman"/>
                <w:color w:val="auto"/>
                <w:sz w:val="20"/>
                <w:szCs w:val="20"/>
                <w:highlight w:val="none"/>
                <w:lang w:val="en-US" w:eastAsia="zh-CN"/>
              </w:rPr>
              <w:t>4</w:t>
            </w:r>
            <w:r>
              <w:rPr>
                <w:rFonts w:hint="default" w:ascii="Times New Roman" w:hAnsi="Times New Roman" w:cs="Times New Roman"/>
                <w:color w:val="auto"/>
                <w:sz w:val="20"/>
                <w:szCs w:val="20"/>
                <w:highlight w:val="none"/>
              </w:rPr>
              <w:t>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0.00</w:t>
            </w:r>
            <w:r>
              <w:rPr>
                <w:rFonts w:hint="default" w:ascii="Times New Roman" w:hAnsi="Times New Roman" w:cs="Times New Roman"/>
                <w:color w:val="auto"/>
                <w:sz w:val="20"/>
                <w:szCs w:val="20"/>
                <w:highlight w:val="none"/>
                <w:lang w:val="en-US" w:eastAsia="zh-CN"/>
              </w:rPr>
              <w:t>4</w:t>
            </w:r>
            <w:r>
              <w:rPr>
                <w:rFonts w:hint="default" w:ascii="Times New Roman" w:hAnsi="Times New Roman" w:cs="Times New Roman"/>
                <w:color w:val="auto"/>
                <w:sz w:val="20"/>
                <w:szCs w:val="20"/>
                <w:highlight w:val="none"/>
              </w:rPr>
              <w:t>mg/L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64</w:t>
            </w:r>
          </w:p>
        </w:tc>
        <w:tc>
          <w:tcPr>
            <w:tcW w:w="104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三氯甲烷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挥发性有机物的测定 吹扫捕集/气相色谱-质谱法HJ639-2012</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1.4μg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&lt;1.4μg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keepNext w:val="0"/>
              <w:keepLines w:val="0"/>
              <w:widowControl/>
              <w:suppressLineNumbers w:val="0"/>
              <w:jc w:val="center"/>
              <w:textAlignment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u w:val="none"/>
                <w:lang w:val="en-US" w:eastAsia="zh-CN" w:bidi="ar"/>
              </w:rPr>
              <w:t>65</w:t>
            </w:r>
          </w:p>
        </w:tc>
        <w:tc>
          <w:tcPr>
            <w:tcW w:w="1045" w:type="dxa"/>
            <w:vAlign w:val="center"/>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四氯化碳</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挥发性有机物的测定 吹扫捕集/气相色谱-质谱法HJ639-2012</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1.5μg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&lt;1.5μg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keepNext w:val="0"/>
              <w:keepLines w:val="0"/>
              <w:widowControl/>
              <w:suppressLineNumbers w:val="0"/>
              <w:jc w:val="center"/>
              <w:textAlignment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66</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挥发性有机物的测定 吹扫捕集/气相色谱-质谱法HJ639-2012</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1.4μg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&lt;1.4μg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keepNext w:val="0"/>
              <w:keepLines w:val="0"/>
              <w:widowControl/>
              <w:suppressLineNumbers w:val="0"/>
              <w:jc w:val="center"/>
              <w:textAlignment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67</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甲苯</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挥发性有机物的测定 吹扫捕集/气相色谱-质谱法HJ639-2012</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1.4μg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叶根友毛笔行书2.0版" w:cs="Times New Roman"/>
                <w:b w:val="0"/>
                <w:bCs w:val="0"/>
                <w:color w:val="auto"/>
                <w:sz w:val="20"/>
                <w:szCs w:val="20"/>
                <w:highlight w:val="none"/>
                <w:lang w:val="en-US" w:eastAsia="zh-CN"/>
              </w:rPr>
              <w:t>&lt;1.4μg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keepNext w:val="0"/>
              <w:keepLines w:val="0"/>
              <w:widowControl/>
              <w:suppressLineNumbers w:val="0"/>
              <w:jc w:val="center"/>
              <w:textAlignment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68</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砷</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水质 汞</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砷</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硒</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锑</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铋的测定 原子荧光法HJ6</w:t>
            </w:r>
            <w:r>
              <w:rPr>
                <w:rFonts w:hint="default" w:ascii="Times New Roman" w:hAnsi="Times New Roman" w:cs="Times New Roman"/>
                <w:color w:val="auto"/>
                <w:sz w:val="20"/>
                <w:szCs w:val="20"/>
                <w:highlight w:val="none"/>
                <w:lang w:val="en-US" w:eastAsia="zh-CN"/>
              </w:rPr>
              <w:t>94</w:t>
            </w:r>
            <w:r>
              <w:rPr>
                <w:rFonts w:hint="default" w:ascii="Times New Roman" w:hAnsi="Times New Roman" w:cs="Times New Roman"/>
                <w:color w:val="auto"/>
                <w:sz w:val="20"/>
                <w:szCs w:val="20"/>
                <w:highlight w:val="none"/>
              </w:rPr>
              <w:t>-2014</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0.3</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&lt;0.3</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69</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汞</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水质 汞</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砷</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硒</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锑</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铋的测定 原子荧光法HJ6</w:t>
            </w:r>
            <w:r>
              <w:rPr>
                <w:rFonts w:hint="default" w:ascii="Times New Roman" w:hAnsi="Times New Roman" w:cs="Times New Roman"/>
                <w:color w:val="auto"/>
                <w:sz w:val="20"/>
                <w:szCs w:val="20"/>
                <w:highlight w:val="none"/>
                <w:lang w:val="en-US" w:eastAsia="zh-CN"/>
              </w:rPr>
              <w:t>94</w:t>
            </w:r>
            <w:r>
              <w:rPr>
                <w:rFonts w:hint="default" w:ascii="Times New Roman" w:hAnsi="Times New Roman" w:cs="Times New Roman"/>
                <w:color w:val="auto"/>
                <w:sz w:val="20"/>
                <w:szCs w:val="20"/>
                <w:highlight w:val="none"/>
              </w:rPr>
              <w:t>-2014</w:t>
            </w:r>
          </w:p>
        </w:tc>
        <w:tc>
          <w:tcPr>
            <w:tcW w:w="1261"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0.04</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&lt;0.04</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70</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硒</w:t>
            </w:r>
          </w:p>
        </w:tc>
        <w:tc>
          <w:tcPr>
            <w:tcW w:w="537"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rPr>
              <w:t>水质 汞</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砷</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硒</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锑</w:t>
            </w:r>
            <w:r>
              <w:rPr>
                <w:rFonts w:hint="default" w:ascii="Times New Roman" w:hAnsi="Times New Roman" w:cs="Times New Roman"/>
                <w:color w:val="auto"/>
                <w:sz w:val="20"/>
                <w:szCs w:val="20"/>
                <w:highlight w:val="none"/>
                <w:lang w:eastAsia="zh-CN"/>
              </w:rPr>
              <w:t>、</w:t>
            </w:r>
            <w:r>
              <w:rPr>
                <w:rFonts w:hint="default" w:ascii="Times New Roman" w:hAnsi="Times New Roman" w:cs="Times New Roman"/>
                <w:color w:val="auto"/>
                <w:sz w:val="20"/>
                <w:szCs w:val="20"/>
                <w:highlight w:val="none"/>
              </w:rPr>
              <w:t>铋的测定 原子荧光法HJ6</w:t>
            </w:r>
            <w:r>
              <w:rPr>
                <w:rFonts w:hint="default" w:ascii="Times New Roman" w:hAnsi="Times New Roman" w:cs="Times New Roman"/>
                <w:color w:val="auto"/>
                <w:sz w:val="20"/>
                <w:szCs w:val="20"/>
                <w:highlight w:val="none"/>
                <w:lang w:val="en-US" w:eastAsia="zh-CN"/>
              </w:rPr>
              <w:t>94</w:t>
            </w:r>
            <w:r>
              <w:rPr>
                <w:rFonts w:hint="default" w:ascii="Times New Roman" w:hAnsi="Times New Roman" w:cs="Times New Roman"/>
                <w:color w:val="auto"/>
                <w:sz w:val="20"/>
                <w:szCs w:val="20"/>
                <w:highlight w:val="none"/>
              </w:rPr>
              <w:t>-2014</w:t>
            </w:r>
          </w:p>
        </w:tc>
        <w:tc>
          <w:tcPr>
            <w:tcW w:w="1261"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0.</w:t>
            </w:r>
            <w:r>
              <w:rPr>
                <w:rFonts w:hint="default" w:ascii="Times New Roman" w:hAnsi="Times New Roman" w:cs="Times New Roman"/>
                <w:b w:val="0"/>
                <w:bCs w:val="0"/>
                <w:color w:val="auto"/>
                <w:sz w:val="20"/>
                <w:szCs w:val="20"/>
                <w:highlight w:val="none"/>
                <w:lang w:val="en-US" w:eastAsia="zh-CN"/>
              </w:rPr>
              <w:t>4</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1379" w:type="dxa"/>
            <w:vAlign w:val="center"/>
          </w:tcPr>
          <w:p>
            <w:pPr>
              <w:jc w:val="center"/>
              <w:rPr>
                <w:rFonts w:hint="default" w:ascii="Times New Roman" w:hAnsi="Times New Roman" w:cs="Times New Roman" w:eastAsiaTheme="minorEastAsia"/>
                <w:color w:val="FF0000"/>
                <w:szCs w:val="21"/>
              </w:rPr>
            </w:pPr>
            <w:r>
              <w:rPr>
                <w:rFonts w:hint="default" w:ascii="Times New Roman" w:hAnsi="Times New Roman" w:cs="Times New Roman"/>
                <w:color w:val="auto"/>
                <w:sz w:val="20"/>
                <w:szCs w:val="20"/>
                <w:highlight w:val="none"/>
                <w:lang w:val="en-US" w:eastAsia="zh-CN"/>
              </w:rPr>
              <w:t>&lt;0.</w:t>
            </w:r>
            <w:r>
              <w:rPr>
                <w:rFonts w:hint="default" w:ascii="Times New Roman" w:hAnsi="Times New Roman" w:cs="Times New Roman"/>
                <w:b w:val="0"/>
                <w:bCs w:val="0"/>
                <w:color w:val="auto"/>
                <w:sz w:val="20"/>
                <w:szCs w:val="20"/>
                <w:highlight w:val="none"/>
                <w:lang w:val="en-US" w:eastAsia="zh-CN"/>
              </w:rPr>
              <w:t>4</w:t>
            </w:r>
            <w:r>
              <w:rPr>
                <w:rFonts w:hint="default" w:ascii="Times New Roman" w:hAnsi="Times New Roman" w:eastAsia="叶根友毛笔行书2.0版" w:cs="Times New Roman"/>
                <w:b w:val="0"/>
                <w:bCs w:val="0"/>
                <w:color w:val="auto"/>
                <w:sz w:val="20"/>
                <w:szCs w:val="20"/>
                <w:highlight w:val="none"/>
                <w:lang w:val="en-US" w:eastAsia="zh-CN"/>
              </w:rPr>
              <w:t>μg</w:t>
            </w:r>
            <w:r>
              <w:rPr>
                <w:rFonts w:hint="default" w:ascii="Times New Roman" w:hAnsi="Times New Roman" w:cs="Times New Roman"/>
                <w:b w:val="0"/>
                <w:bCs w:val="0"/>
                <w:color w:val="auto"/>
                <w:sz w:val="20"/>
                <w:szCs w:val="20"/>
                <w:highlight w:val="none"/>
                <w:lang w:val="en-US" w:eastAsia="zh-CN"/>
              </w:rPr>
              <w:t>/L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71</w:t>
            </w:r>
          </w:p>
        </w:tc>
        <w:tc>
          <w:tcPr>
            <w:tcW w:w="1045" w:type="dxa"/>
            <w:vAlign w:val="center"/>
          </w:tcPr>
          <w:p>
            <w:pPr>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碘</w:t>
            </w:r>
            <w:r>
              <w:rPr>
                <w:rFonts w:hint="default" w:ascii="Times New Roman" w:hAnsi="Times New Roman" w:cs="Times New Roman"/>
                <w:color w:val="auto"/>
                <w:sz w:val="20"/>
                <w:szCs w:val="20"/>
                <w:highlight w:val="none"/>
              </w:rPr>
              <w:t>化物</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 xml:space="preserve">水质 碘化物的测定 高浓度碘化物比色法 </w:t>
            </w:r>
            <w:r>
              <w:rPr>
                <w:rFonts w:hint="default" w:ascii="Times New Roman" w:hAnsi="Times New Roman" w:cs="Times New Roman"/>
                <w:color w:val="auto"/>
                <w:kern w:val="2"/>
                <w:sz w:val="20"/>
                <w:szCs w:val="20"/>
                <w:highlight w:val="none"/>
              </w:rPr>
              <w:t>GB/T5750.</w:t>
            </w:r>
            <w:r>
              <w:rPr>
                <w:rFonts w:hint="default" w:ascii="Times New Roman" w:hAnsi="Times New Roman" w:cs="Times New Roman"/>
                <w:color w:val="auto"/>
                <w:kern w:val="2"/>
                <w:sz w:val="20"/>
                <w:szCs w:val="20"/>
                <w:highlight w:val="none"/>
                <w:lang w:val="en-US" w:eastAsia="zh-CN"/>
              </w:rPr>
              <w:t>5</w:t>
            </w:r>
            <w:r>
              <w:rPr>
                <w:rFonts w:hint="default" w:ascii="Times New Roman" w:hAnsi="Times New Roman" w:cs="Times New Roman"/>
                <w:color w:val="auto"/>
                <w:kern w:val="2"/>
                <w:sz w:val="20"/>
                <w:szCs w:val="20"/>
                <w:highlight w:val="none"/>
              </w:rPr>
              <w:t>-2006</w:t>
            </w:r>
          </w:p>
        </w:tc>
        <w:tc>
          <w:tcPr>
            <w:tcW w:w="1261"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0.05mg/L</w:t>
            </w:r>
          </w:p>
        </w:tc>
        <w:tc>
          <w:tcPr>
            <w:tcW w:w="1379"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0.05mg/L</w:t>
            </w:r>
          </w:p>
        </w:tc>
        <w:tc>
          <w:tcPr>
            <w:tcW w:w="440" w:type="dxa"/>
            <w:vAlign w:val="center"/>
          </w:tcPr>
          <w:p>
            <w:pPr>
              <w:jc w:val="center"/>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72</w:t>
            </w:r>
          </w:p>
        </w:tc>
        <w:tc>
          <w:tcPr>
            <w:tcW w:w="10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高锰酸盐指数</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水质 高锰酸盐指数的测定GB11892-89</w:t>
            </w:r>
          </w:p>
        </w:tc>
        <w:tc>
          <w:tcPr>
            <w:tcW w:w="1261"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rPr>
              <w:t>0.5mg/L</w:t>
            </w:r>
          </w:p>
        </w:tc>
        <w:tc>
          <w:tcPr>
            <w:tcW w:w="1379"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w:t>
            </w:r>
            <w:r>
              <w:rPr>
                <w:rFonts w:hint="default" w:ascii="Times New Roman" w:hAnsi="Times New Roman" w:cs="Times New Roman"/>
                <w:color w:val="auto"/>
                <w:sz w:val="20"/>
                <w:szCs w:val="20"/>
                <w:highlight w:val="none"/>
              </w:rPr>
              <w:t>0.5mg/L</w:t>
            </w:r>
          </w:p>
        </w:tc>
        <w:tc>
          <w:tcPr>
            <w:tcW w:w="44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26" w:type="dxa"/>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cs="Times New Roman" w:eastAsiaTheme="minorEastAsia"/>
                <w:szCs w:val="21"/>
              </w:rPr>
            </w:pPr>
            <w:r>
              <w:rPr>
                <w:rFonts w:hint="default" w:ascii="Times New Roman" w:hAnsi="Times New Roman" w:eastAsia="宋体" w:cs="Times New Roman"/>
                <w:i w:val="0"/>
                <w:color w:val="auto"/>
                <w:kern w:val="0"/>
                <w:sz w:val="18"/>
                <w:szCs w:val="18"/>
                <w:highlight w:val="none"/>
                <w:u w:val="none"/>
                <w:lang w:val="en-US" w:eastAsia="zh-CN" w:bidi="ar"/>
              </w:rPr>
              <w:t>73</w:t>
            </w:r>
          </w:p>
        </w:tc>
        <w:tc>
          <w:tcPr>
            <w:tcW w:w="104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水质</w:t>
            </w:r>
          </w:p>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总硬度</w:t>
            </w:r>
          </w:p>
        </w:tc>
        <w:tc>
          <w:tcPr>
            <w:tcW w:w="537" w:type="dxa"/>
            <w:vAlign w:val="center"/>
          </w:tcPr>
          <w:p>
            <w:pPr>
              <w:jc w:val="center"/>
              <w:rPr>
                <w:rFonts w:hint="default" w:ascii="Times New Roman" w:hAnsi="Times New Roman" w:cs="Times New Roman" w:eastAsiaTheme="minorEastAsia"/>
                <w:szCs w:val="21"/>
              </w:rPr>
            </w:pPr>
            <w:r>
              <w:rPr>
                <w:rFonts w:hint="default" w:ascii="Times New Roman" w:hAnsi="Times New Roman" w:eastAsia="宋体" w:cs="Times New Roman"/>
                <w:color w:val="auto"/>
                <w:kern w:val="2"/>
                <w:sz w:val="20"/>
                <w:szCs w:val="20"/>
                <w:highlight w:val="none"/>
                <w:lang w:val="en-US" w:eastAsia="zh-CN" w:bidi="ar-SA"/>
              </w:rPr>
              <w:t>3</w:t>
            </w:r>
          </w:p>
        </w:tc>
        <w:tc>
          <w:tcPr>
            <w:tcW w:w="3275"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eastAsia="zh-CN"/>
              </w:rPr>
              <w:t>水质</w:t>
            </w:r>
            <w:r>
              <w:rPr>
                <w:rFonts w:hint="default" w:ascii="Times New Roman" w:hAnsi="Times New Roman" w:cs="Times New Roman"/>
                <w:color w:val="auto"/>
                <w:sz w:val="20"/>
                <w:szCs w:val="20"/>
                <w:highlight w:val="none"/>
                <w:lang w:val="en-US" w:eastAsia="zh-CN"/>
              </w:rPr>
              <w:t xml:space="preserve"> 钙和镁总量的测定 EDTA滴定法GB7477-87</w:t>
            </w:r>
          </w:p>
        </w:tc>
        <w:tc>
          <w:tcPr>
            <w:tcW w:w="1261"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0.05mmol/L</w:t>
            </w:r>
          </w:p>
        </w:tc>
        <w:tc>
          <w:tcPr>
            <w:tcW w:w="1379"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&lt;0.05mmol/L</w:t>
            </w:r>
          </w:p>
        </w:tc>
        <w:tc>
          <w:tcPr>
            <w:tcW w:w="440" w:type="dxa"/>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default" w:ascii="Times New Roman" w:hAnsi="Times New Roman" w:cs="Times New Roman" w:eastAsiaTheme="minorEastAsia"/>
                <w:szCs w:val="21"/>
              </w:rPr>
            </w:pPr>
            <w:r>
              <w:rPr>
                <w:rFonts w:hint="default" w:ascii="Times New Roman" w:hAnsi="Times New Roman" w:cs="Times New Roman"/>
                <w:color w:val="auto"/>
                <w:sz w:val="20"/>
                <w:szCs w:val="20"/>
                <w:highlight w:val="none"/>
                <w:lang w:val="en-US" w:eastAsia="zh-CN"/>
              </w:rPr>
              <w:t>合格</w:t>
            </w:r>
          </w:p>
        </w:tc>
      </w:tr>
    </w:tbl>
    <w:p>
      <w:pPr>
        <w:widowControl/>
        <w:spacing w:line="360" w:lineRule="auto"/>
        <w:ind w:firstLine="480" w:firstLineChars="200"/>
        <w:jc w:val="left"/>
        <w:rPr>
          <w:rFonts w:hint="default" w:ascii="Times New Roman" w:hAnsi="Times New Roman" w:cs="Times New Roman"/>
          <w:sz w:val="24"/>
          <w:szCs w:val="24"/>
        </w:rPr>
      </w:pPr>
      <w:bookmarkStart w:id="431" w:name="_Toc11746"/>
      <w:bookmarkStart w:id="432" w:name="_Toc48673376"/>
      <w:bookmarkStart w:id="433" w:name="_Toc15986"/>
      <w:bookmarkStart w:id="434" w:name="_Toc560"/>
      <w:bookmarkStart w:id="435" w:name="_Toc11371"/>
      <w:bookmarkStart w:id="436" w:name="_Toc12013"/>
      <w:bookmarkStart w:id="437" w:name="_Toc20950"/>
      <w:bookmarkStart w:id="438" w:name="_Toc11084"/>
      <w:bookmarkStart w:id="439" w:name="_Toc15742"/>
      <w:bookmarkStart w:id="440" w:name="_Toc1810"/>
      <w:r>
        <w:rPr>
          <w:rFonts w:hint="default" w:ascii="Times New Roman" w:hAnsi="Times New Roman" w:cs="Times New Roman"/>
          <w:sz w:val="24"/>
          <w:szCs w:val="24"/>
        </w:rPr>
        <w:t>2.精密度质控结果分析</w:t>
      </w:r>
      <w:bookmarkEnd w:id="431"/>
      <w:bookmarkEnd w:id="432"/>
      <w:bookmarkEnd w:id="433"/>
      <w:bookmarkEnd w:id="434"/>
      <w:bookmarkEnd w:id="435"/>
      <w:bookmarkEnd w:id="436"/>
      <w:bookmarkEnd w:id="437"/>
      <w:bookmarkEnd w:id="438"/>
      <w:bookmarkEnd w:id="439"/>
      <w:bookmarkEnd w:id="440"/>
    </w:p>
    <w:p>
      <w:pPr>
        <w:pStyle w:val="16"/>
        <w:spacing w:after="140" w:line="360" w:lineRule="auto"/>
        <w:ind w:firstLine="480" w:firstLineChars="200"/>
        <w:rPr>
          <w:rFonts w:hint="default" w:ascii="Times New Roman" w:hAnsi="Times New Roman" w:cs="Times New Roman"/>
          <w:sz w:val="24"/>
          <w:szCs w:val="24"/>
          <w:lang w:val="en-US" w:eastAsia="zh-CN" w:bidi="ar-SA"/>
        </w:rPr>
      </w:pPr>
      <w:r>
        <w:rPr>
          <w:rFonts w:hint="default" w:ascii="Times New Roman" w:hAnsi="Times New Roman" w:cs="Times New Roman"/>
          <w:sz w:val="24"/>
          <w:szCs w:val="24"/>
          <w:lang w:val="en-US" w:eastAsia="zh-CN" w:bidi="ar-SA"/>
        </w:rPr>
        <w:t>土壤：每批次样品分析时，每个检测项目均须做平行双样分析。在每批次分析样品中，应随机抽取5%的样品进行平行双样分析；当批次样品数V20时，应至少随机抽取1个样品进行平行双样分析。</w:t>
      </w:r>
    </w:p>
    <w:p>
      <w:pPr>
        <w:pStyle w:val="16"/>
        <w:spacing w:line="360" w:lineRule="auto"/>
        <w:ind w:firstLine="480" w:firstLineChars="200"/>
        <w:rPr>
          <w:rFonts w:hint="default" w:ascii="Times New Roman" w:hAnsi="Times New Roman" w:cs="Times New Roman"/>
          <w:sz w:val="24"/>
          <w:szCs w:val="24"/>
          <w:lang w:val="en-US" w:eastAsia="zh-CN" w:bidi="ar-SA"/>
        </w:rPr>
      </w:pPr>
      <w:r>
        <w:rPr>
          <w:rFonts w:hint="default" w:ascii="Times New Roman" w:hAnsi="Times New Roman" w:cs="Times New Roman"/>
          <w:sz w:val="24"/>
          <w:szCs w:val="24"/>
          <w:lang w:val="en-US" w:eastAsia="zh-CN" w:bidi="ar-SA"/>
        </w:rPr>
        <w:t>地下水：凡样品均匀能做平行双样的分析项目，每批水样分析时均须做10%的平行双样，样品数V10时，每批样品应至少做一份样品的平行双样。</w:t>
      </w:r>
    </w:p>
    <w:p>
      <w:pPr>
        <w:pStyle w:val="16"/>
        <w:spacing w:after="160"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sz w:val="24"/>
          <w:szCs w:val="24"/>
          <w:lang w:val="en-US" w:eastAsia="zh-CN" w:bidi="ar-SA"/>
        </w:rPr>
        <w:t>对平行双样分析测试合格率要求应达到95%o当合格率小于95%时，应査明产生不合格结果的原因，釆取适当的纠正和预防措施。除对不合格结果重新分析测试外，应再增加5%〜15%的平行双样分析比例，直至总合格率达到95%</w:t>
      </w:r>
      <w:bookmarkStart w:id="441" w:name="_Toc4245"/>
      <w:bookmarkStart w:id="442" w:name="_Toc19461"/>
      <w:bookmarkStart w:id="443" w:name="_Toc48673377"/>
      <w:bookmarkStart w:id="444" w:name="_Toc20506"/>
      <w:bookmarkStart w:id="445" w:name="_Toc28569"/>
      <w:bookmarkStart w:id="446" w:name="_Toc14127"/>
      <w:bookmarkStart w:id="447" w:name="_Toc30979"/>
      <w:bookmarkStart w:id="448" w:name="_Toc8494"/>
      <w:bookmarkStart w:id="449" w:name="_Toc27479"/>
      <w:bookmarkStart w:id="450" w:name="_Toc1404"/>
    </w:p>
    <w:bookmarkEnd w:id="441"/>
    <w:bookmarkEnd w:id="442"/>
    <w:bookmarkEnd w:id="443"/>
    <w:bookmarkEnd w:id="444"/>
    <w:bookmarkEnd w:id="445"/>
    <w:bookmarkEnd w:id="446"/>
    <w:bookmarkEnd w:id="447"/>
    <w:bookmarkEnd w:id="448"/>
    <w:bookmarkEnd w:id="449"/>
    <w:bookmarkEnd w:id="450"/>
    <w:p>
      <w:pPr>
        <w:widowControl/>
        <w:spacing w:line="360" w:lineRule="auto"/>
        <w:ind w:firstLine="480" w:firstLineChars="200"/>
        <w:jc w:val="left"/>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3.准确度控制</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eastAsia="宋体" w:cs="Times New Roman"/>
          <w:kern w:val="2"/>
          <w:sz w:val="24"/>
          <w:szCs w:val="24"/>
          <w:lang w:val="en-US" w:eastAsia="zh-CN" w:bidi="ar-SA"/>
        </w:rPr>
        <w:t>当具备与被测土壤或地下水样品基体相同或类似的有证标准物质时，应在每批次样品分析时同步均匀插入与被测样品含量水平相当的有证标准物质样品进行分析测试。每批次同类型分析样品要求按样品数5%（地下水为10%）的比例</w:t>
      </w:r>
      <w:r>
        <w:rPr>
          <w:rFonts w:hint="default" w:ascii="Times New Roman" w:hAnsi="Times New Roman" w:cs="Times New Roman"/>
          <w:sz w:val="24"/>
          <w:szCs w:val="24"/>
        </w:rPr>
        <w:t>插入标准物质样品；当批次分析样品数＜20（地下水为10）时，应至少插入1个标准物质样品。</w:t>
      </w:r>
    </w:p>
    <w:p>
      <w:pPr>
        <w:widowControl/>
        <w:spacing w:line="360" w:lineRule="auto"/>
        <w:ind w:firstLine="480" w:firstLineChars="200"/>
        <w:jc w:val="left"/>
        <w:rPr>
          <w:rFonts w:hAnsi="宋体"/>
          <w:sz w:val="24"/>
          <w:szCs w:val="24"/>
        </w:rPr>
      </w:pPr>
      <w:r>
        <w:rPr>
          <w:rFonts w:hint="default" w:ascii="Times New Roman" w:hAnsi="Times New Roman" w:cs="Times New Roman"/>
          <w:sz w:val="24"/>
          <w:szCs w:val="24"/>
        </w:rPr>
        <w:t>本次监测有证标准样测试结果符合《土壤环境监测技术规范》（HJ/T166-2004）、《地下水环境监测技术规范》（HJ/T164-2004）、《环境水质监测质量保证手册》（第四版）、《重点行业企业用地调查质量保证与质量控制技术规定》（试行）及国家或行业标准等相关要求，质控结果全部合格，实验室有证标准样质控统计表见表1</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rPr>
        <w:t>。</w:t>
      </w:r>
    </w:p>
    <w:p>
      <w:pPr>
        <w:pStyle w:val="2"/>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表1</w:t>
      </w: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rPr>
        <w:t xml:space="preserve"> 实验室有证标准样质控统计表</w:t>
      </w:r>
    </w:p>
    <w:tbl>
      <w:tblPr>
        <w:tblStyle w:val="9"/>
        <w:tblW w:w="491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1163"/>
        <w:gridCol w:w="1273"/>
        <w:gridCol w:w="1827"/>
        <w:gridCol w:w="845"/>
        <w:gridCol w:w="1328"/>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blHeader/>
        </w:trPr>
        <w:tc>
          <w:tcPr>
            <w:tcW w:w="343" w:type="pct"/>
            <w:vAlign w:val="center"/>
          </w:tcPr>
          <w:p>
            <w:pPr>
              <w:pStyle w:val="3"/>
              <w:ind w:left="0" w:leftChars="0" w:firstLine="0" w:firstLineChars="0"/>
              <w:jc w:val="center"/>
              <w:rPr>
                <w:rFonts w:hint="default"/>
                <w:lang w:val="en-US" w:eastAsia="zh-CN"/>
              </w:rPr>
            </w:pPr>
            <w:r>
              <w:rPr>
                <w:rFonts w:hint="default"/>
              </w:rPr>
              <w:t>序号</w:t>
            </w:r>
          </w:p>
        </w:tc>
        <w:tc>
          <w:tcPr>
            <w:tcW w:w="694" w:type="pct"/>
            <w:vAlign w:val="center"/>
          </w:tcPr>
          <w:p>
            <w:pPr>
              <w:pStyle w:val="3"/>
              <w:ind w:left="0" w:leftChars="0" w:firstLine="0" w:firstLineChars="0"/>
              <w:jc w:val="both"/>
              <w:rPr>
                <w:rFonts w:hint="default"/>
                <w:lang w:val="en-US" w:eastAsia="zh-CN"/>
              </w:rPr>
            </w:pPr>
            <w:r>
              <w:rPr>
                <w:rFonts w:hint="default"/>
              </w:rPr>
              <w:t>检测类别及项目</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标准样品编号</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标准样品保证值</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标准样品检测次数</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测量值</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判定结果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694" w:type="pct"/>
            <w:vAlign w:val="center"/>
          </w:tcPr>
          <w:p>
            <w:pPr>
              <w:pStyle w:val="3"/>
              <w:ind w:left="0" w:leftChars="0" w:firstLine="0" w:firstLineChars="0"/>
              <w:jc w:val="center"/>
              <w:rPr>
                <w:rFonts w:hint="default"/>
              </w:rPr>
            </w:pPr>
            <w:r>
              <w:rPr>
                <w:rFonts w:hint="default"/>
              </w:rPr>
              <w:t>土壤</w:t>
            </w:r>
          </w:p>
          <w:p>
            <w:pPr>
              <w:pStyle w:val="3"/>
              <w:ind w:left="0" w:leftChars="0" w:firstLine="0" w:firstLineChars="0"/>
              <w:jc w:val="center"/>
              <w:rPr>
                <w:rFonts w:hint="default"/>
                <w:lang w:val="en-US" w:eastAsia="zh-CN"/>
              </w:rPr>
            </w:pPr>
            <w:r>
              <w:rPr>
                <w:rFonts w:hint="default"/>
              </w:rPr>
              <w:t>汞</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GBW07456</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0.116±0.012mg/kg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0.114mg/kg、0.119mg/kg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694" w:type="pct"/>
            <w:vAlign w:val="center"/>
          </w:tcPr>
          <w:p>
            <w:pPr>
              <w:pStyle w:val="3"/>
              <w:ind w:left="0" w:leftChars="0" w:firstLine="0" w:firstLineChars="0"/>
              <w:jc w:val="center"/>
              <w:rPr>
                <w:rFonts w:hint="default"/>
              </w:rPr>
            </w:pPr>
            <w:r>
              <w:rPr>
                <w:rFonts w:hint="default"/>
              </w:rPr>
              <w:t>土壤</w:t>
            </w:r>
          </w:p>
          <w:p>
            <w:pPr>
              <w:pStyle w:val="3"/>
              <w:ind w:left="0" w:leftChars="0" w:firstLine="0" w:firstLineChars="0"/>
              <w:jc w:val="center"/>
              <w:rPr>
                <w:rFonts w:hint="default"/>
                <w:lang w:val="en-US" w:eastAsia="zh-CN"/>
              </w:rPr>
            </w:pPr>
            <w:r>
              <w:rPr>
                <w:rFonts w:hint="default"/>
              </w:rPr>
              <w:t>砷</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GBW07456</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13.3±1.1mg/kg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14.1mg/kg、12.9mg/kg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3</w:t>
            </w:r>
          </w:p>
        </w:tc>
        <w:tc>
          <w:tcPr>
            <w:tcW w:w="694" w:type="pct"/>
            <w:vAlign w:val="center"/>
          </w:tcPr>
          <w:p>
            <w:pPr>
              <w:pStyle w:val="3"/>
              <w:ind w:left="0" w:leftChars="0" w:firstLine="0" w:firstLineChars="0"/>
              <w:jc w:val="center"/>
              <w:rPr>
                <w:rFonts w:hint="default"/>
                <w:lang w:eastAsia="zh-CN"/>
              </w:rPr>
            </w:pPr>
            <w:r>
              <w:rPr>
                <w:rFonts w:hint="default"/>
                <w:lang w:eastAsia="zh-CN"/>
              </w:rPr>
              <w:t>土壤</w:t>
            </w:r>
          </w:p>
          <w:p>
            <w:pPr>
              <w:pStyle w:val="3"/>
              <w:ind w:left="0" w:leftChars="0" w:firstLine="0" w:firstLineChars="0"/>
              <w:jc w:val="center"/>
              <w:rPr>
                <w:rFonts w:hint="default"/>
                <w:lang w:val="en-US" w:eastAsia="zh-CN"/>
              </w:rPr>
            </w:pPr>
            <w:r>
              <w:rPr>
                <w:rFonts w:hint="default"/>
                <w:lang w:eastAsia="zh-CN"/>
              </w:rPr>
              <w:t>铜</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GBW07453</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28±2mg/kg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27mg/kg、28mg/kg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4</w:t>
            </w:r>
          </w:p>
        </w:tc>
        <w:tc>
          <w:tcPr>
            <w:tcW w:w="694" w:type="pct"/>
            <w:vAlign w:val="center"/>
          </w:tcPr>
          <w:p>
            <w:pPr>
              <w:pStyle w:val="3"/>
              <w:ind w:left="0" w:leftChars="0" w:firstLine="0" w:firstLineChars="0"/>
              <w:jc w:val="center"/>
              <w:rPr>
                <w:rFonts w:hint="default"/>
              </w:rPr>
            </w:pPr>
            <w:r>
              <w:rPr>
                <w:rFonts w:hint="default"/>
              </w:rPr>
              <w:t>土壤</w:t>
            </w:r>
          </w:p>
          <w:p>
            <w:pPr>
              <w:pStyle w:val="3"/>
              <w:ind w:left="0" w:leftChars="0" w:firstLine="0" w:firstLineChars="0"/>
              <w:jc w:val="center"/>
              <w:rPr>
                <w:rFonts w:hint="default"/>
                <w:lang w:val="en-US" w:eastAsia="zh-CN"/>
              </w:rPr>
            </w:pPr>
            <w:r>
              <w:rPr>
                <w:rFonts w:hint="default"/>
              </w:rPr>
              <w:t>镉</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GBW07453</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0.106±0.007mg/kg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0.103mg/kg、0.109mg/kg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5</w:t>
            </w:r>
          </w:p>
        </w:tc>
        <w:tc>
          <w:tcPr>
            <w:tcW w:w="694" w:type="pct"/>
            <w:vAlign w:val="center"/>
          </w:tcPr>
          <w:p>
            <w:pPr>
              <w:pStyle w:val="3"/>
              <w:ind w:left="0" w:leftChars="0" w:firstLine="0" w:firstLineChars="0"/>
              <w:jc w:val="center"/>
              <w:rPr>
                <w:rFonts w:hint="default"/>
              </w:rPr>
            </w:pPr>
            <w:r>
              <w:rPr>
                <w:rFonts w:hint="default"/>
              </w:rPr>
              <w:t>土壤</w:t>
            </w:r>
          </w:p>
          <w:p>
            <w:pPr>
              <w:pStyle w:val="3"/>
              <w:ind w:left="0" w:leftChars="0" w:firstLine="0" w:firstLineChars="0"/>
              <w:jc w:val="center"/>
              <w:rPr>
                <w:rFonts w:hint="default"/>
                <w:lang w:val="en-US" w:eastAsia="zh-CN"/>
              </w:rPr>
            </w:pPr>
            <w:r>
              <w:rPr>
                <w:rFonts w:hint="default"/>
                <w:lang w:eastAsia="zh-CN"/>
              </w:rPr>
              <w:t>铅</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GBW07453</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40±2mg/kg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39mg/kg、39mg/kg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6</w:t>
            </w:r>
          </w:p>
        </w:tc>
        <w:tc>
          <w:tcPr>
            <w:tcW w:w="694" w:type="pct"/>
            <w:vAlign w:val="center"/>
          </w:tcPr>
          <w:p>
            <w:pPr>
              <w:pStyle w:val="3"/>
              <w:ind w:left="0" w:leftChars="0" w:firstLine="0" w:firstLineChars="0"/>
              <w:jc w:val="center"/>
              <w:rPr>
                <w:rFonts w:hint="default"/>
              </w:rPr>
            </w:pPr>
            <w:r>
              <w:rPr>
                <w:rFonts w:hint="default"/>
              </w:rPr>
              <w:t>土壤</w:t>
            </w:r>
          </w:p>
          <w:p>
            <w:pPr>
              <w:pStyle w:val="3"/>
              <w:ind w:left="0" w:leftChars="0" w:firstLine="0" w:firstLineChars="0"/>
              <w:jc w:val="center"/>
              <w:rPr>
                <w:rFonts w:hint="default"/>
                <w:lang w:val="en-US" w:eastAsia="zh-CN"/>
              </w:rPr>
            </w:pPr>
            <w:r>
              <w:rPr>
                <w:rFonts w:hint="default"/>
              </w:rPr>
              <w:t>镍</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GBW07453</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24±1mg/kg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23mg/kg、25mg/kg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7</w:t>
            </w:r>
          </w:p>
        </w:tc>
        <w:tc>
          <w:tcPr>
            <w:tcW w:w="694" w:type="pct"/>
            <w:vAlign w:val="center"/>
          </w:tcPr>
          <w:p>
            <w:pPr>
              <w:pStyle w:val="3"/>
              <w:ind w:left="0" w:leftChars="0" w:firstLine="0" w:firstLineChars="0"/>
              <w:jc w:val="center"/>
              <w:rPr>
                <w:rFonts w:hint="default"/>
                <w:lang w:eastAsia="zh-CN"/>
              </w:rPr>
            </w:pPr>
            <w:r>
              <w:rPr>
                <w:rFonts w:hint="default"/>
                <w:lang w:eastAsia="zh-CN"/>
              </w:rPr>
              <w:t>土壤</w:t>
            </w:r>
          </w:p>
          <w:p>
            <w:pPr>
              <w:pStyle w:val="3"/>
              <w:ind w:left="0" w:leftChars="0" w:firstLine="0" w:firstLineChars="0"/>
              <w:jc w:val="center"/>
              <w:rPr>
                <w:rFonts w:hint="default"/>
                <w:lang w:val="en-US" w:eastAsia="zh-CN"/>
              </w:rPr>
            </w:pPr>
            <w:r>
              <w:rPr>
                <w:rFonts w:hint="default"/>
                <w:lang w:eastAsia="zh-CN"/>
              </w:rPr>
              <w:t>六价铬</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GBW(E)070253</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3.8±0.4mg/kg</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2</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3.8mg/kg、3.8mg/kg</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eastAsia"/>
                <w:lang w:val="en-US" w:eastAsia="zh-CN"/>
              </w:rPr>
              <w:t>8</w:t>
            </w:r>
          </w:p>
        </w:tc>
        <w:tc>
          <w:tcPr>
            <w:tcW w:w="694" w:type="pct"/>
            <w:vAlign w:val="center"/>
          </w:tcPr>
          <w:p>
            <w:pPr>
              <w:pStyle w:val="3"/>
              <w:ind w:left="0" w:leftChars="0" w:firstLine="0" w:firstLineChars="0"/>
              <w:jc w:val="center"/>
              <w:rPr>
                <w:rFonts w:hint="default"/>
                <w:lang w:val="en-US" w:eastAsia="zh-CN"/>
              </w:rPr>
            </w:pPr>
            <w:r>
              <w:rPr>
                <w:rFonts w:hint="default"/>
                <w:lang w:val="en-US" w:eastAsia="zh-CN"/>
              </w:rPr>
              <w:t>土壤</w:t>
            </w:r>
          </w:p>
          <w:p>
            <w:pPr>
              <w:pStyle w:val="3"/>
              <w:ind w:left="0" w:leftChars="0" w:firstLine="0" w:firstLineChars="0"/>
              <w:jc w:val="center"/>
              <w:rPr>
                <w:rFonts w:hint="default"/>
                <w:lang w:val="en-US" w:eastAsia="zh-CN"/>
              </w:rPr>
            </w:pPr>
            <w:r>
              <w:rPr>
                <w:rFonts w:hint="default"/>
                <w:lang w:val="en-US" w:eastAsia="zh-CN"/>
              </w:rPr>
              <w:t>pH</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GpH-10</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8.56±0.03</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8.55</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9</w:t>
            </w:r>
          </w:p>
        </w:tc>
        <w:tc>
          <w:tcPr>
            <w:tcW w:w="694" w:type="pct"/>
            <w:vAlign w:val="center"/>
          </w:tcPr>
          <w:p>
            <w:pPr>
              <w:pStyle w:val="3"/>
              <w:ind w:left="0" w:leftChars="0" w:firstLine="0" w:firstLineChars="0"/>
              <w:jc w:val="center"/>
              <w:rPr>
                <w:rFonts w:hint="default"/>
                <w:lang w:eastAsia="zh-CN"/>
              </w:rPr>
            </w:pPr>
            <w:r>
              <w:rPr>
                <w:rFonts w:hint="default"/>
                <w:lang w:eastAsia="zh-CN"/>
              </w:rPr>
              <w:t>水质</w:t>
            </w:r>
          </w:p>
          <w:p>
            <w:pPr>
              <w:pStyle w:val="3"/>
              <w:ind w:left="0" w:leftChars="0" w:firstLine="0" w:firstLineChars="0"/>
              <w:jc w:val="center"/>
              <w:rPr>
                <w:rFonts w:hint="default"/>
                <w:lang w:val="en-US" w:eastAsia="zh-CN"/>
              </w:rPr>
            </w:pPr>
            <w:r>
              <w:rPr>
                <w:rFonts w:hint="default"/>
              </w:rPr>
              <w:t>砷</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200446</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26.0±2.0μ</w:t>
            </w:r>
            <w:r>
              <w:rPr>
                <w:rFonts w:hint="default"/>
              </w:rPr>
              <w:t>g</w:t>
            </w:r>
            <w:r>
              <w:rPr>
                <w:rFonts w:hint="default"/>
                <w:lang w:val="en-US" w:eastAsia="zh-CN"/>
              </w:rPr>
              <w:t>/L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27.2μ</w:t>
            </w:r>
            <w:r>
              <w:rPr>
                <w:rFonts w:hint="default"/>
              </w:rPr>
              <w:t>g</w:t>
            </w:r>
            <w:r>
              <w:rPr>
                <w:rFonts w:hint="default"/>
                <w:lang w:val="en-US" w:eastAsia="zh-CN"/>
              </w:rPr>
              <w:t>/L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10</w:t>
            </w:r>
          </w:p>
        </w:tc>
        <w:tc>
          <w:tcPr>
            <w:tcW w:w="694" w:type="pct"/>
            <w:vAlign w:val="center"/>
          </w:tcPr>
          <w:p>
            <w:pPr>
              <w:pStyle w:val="3"/>
              <w:ind w:left="0" w:leftChars="0" w:firstLine="0" w:firstLineChars="0"/>
              <w:jc w:val="center"/>
              <w:rPr>
                <w:rFonts w:hint="default"/>
                <w:lang w:eastAsia="zh-CN"/>
              </w:rPr>
            </w:pPr>
            <w:r>
              <w:rPr>
                <w:rFonts w:hint="default"/>
                <w:lang w:eastAsia="zh-CN"/>
              </w:rPr>
              <w:t>水质</w:t>
            </w:r>
          </w:p>
          <w:p>
            <w:pPr>
              <w:pStyle w:val="3"/>
              <w:ind w:left="0" w:leftChars="0" w:firstLine="0" w:firstLineChars="0"/>
              <w:jc w:val="center"/>
              <w:rPr>
                <w:rFonts w:hint="default"/>
                <w:lang w:val="en-US" w:eastAsia="zh-CN"/>
              </w:rPr>
            </w:pPr>
            <w:r>
              <w:rPr>
                <w:rFonts w:hint="default"/>
              </w:rPr>
              <w:t>汞</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202046</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12.1±1.0μ</w:t>
            </w:r>
            <w:r>
              <w:rPr>
                <w:rFonts w:hint="default"/>
              </w:rPr>
              <w:t>g</w:t>
            </w:r>
            <w:r>
              <w:rPr>
                <w:rFonts w:hint="default"/>
                <w:lang w:val="en-US" w:eastAsia="zh-CN"/>
              </w:rPr>
              <w:t>/L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11.4μ</w:t>
            </w:r>
            <w:r>
              <w:rPr>
                <w:rFonts w:hint="default"/>
              </w:rPr>
              <w:t>g</w:t>
            </w:r>
            <w:r>
              <w:rPr>
                <w:rFonts w:hint="default"/>
                <w:lang w:val="en-US" w:eastAsia="zh-CN"/>
              </w:rPr>
              <w:t>/L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11</w:t>
            </w:r>
          </w:p>
        </w:tc>
        <w:tc>
          <w:tcPr>
            <w:tcW w:w="694" w:type="pct"/>
            <w:vAlign w:val="center"/>
          </w:tcPr>
          <w:p>
            <w:pPr>
              <w:pStyle w:val="3"/>
              <w:ind w:left="0" w:leftChars="0" w:firstLine="0" w:firstLineChars="0"/>
              <w:jc w:val="center"/>
              <w:rPr>
                <w:rFonts w:hint="default"/>
                <w:lang w:eastAsia="zh-CN"/>
              </w:rPr>
            </w:pPr>
            <w:r>
              <w:rPr>
                <w:rFonts w:hint="default"/>
                <w:lang w:eastAsia="zh-CN"/>
              </w:rPr>
              <w:t>水质</w:t>
            </w:r>
          </w:p>
          <w:p>
            <w:pPr>
              <w:pStyle w:val="3"/>
              <w:ind w:left="0" w:leftChars="0" w:firstLine="0" w:firstLineChars="0"/>
              <w:jc w:val="center"/>
              <w:rPr>
                <w:rFonts w:hint="default"/>
                <w:lang w:val="en-US" w:eastAsia="zh-CN"/>
              </w:rPr>
            </w:pPr>
            <w:r>
              <w:rPr>
                <w:rFonts w:hint="default"/>
              </w:rPr>
              <w:t>硒</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203719</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5.61μ</w:t>
            </w:r>
            <w:r>
              <w:rPr>
                <w:rFonts w:hint="default"/>
              </w:rPr>
              <w:t>g</w:t>
            </w:r>
            <w:r>
              <w:rPr>
                <w:rFonts w:hint="default"/>
                <w:lang w:val="en-US" w:eastAsia="zh-CN"/>
              </w:rPr>
              <w:t>/L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5.56μ</w:t>
            </w:r>
            <w:r>
              <w:rPr>
                <w:rFonts w:hint="default"/>
              </w:rPr>
              <w:t>g</w:t>
            </w:r>
            <w:r>
              <w:rPr>
                <w:rFonts w:hint="default"/>
                <w:lang w:val="en-US" w:eastAsia="zh-CN"/>
              </w:rPr>
              <w:t>/L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12</w:t>
            </w:r>
          </w:p>
        </w:tc>
        <w:tc>
          <w:tcPr>
            <w:tcW w:w="694" w:type="pct"/>
            <w:vAlign w:val="center"/>
          </w:tcPr>
          <w:p>
            <w:pPr>
              <w:pStyle w:val="3"/>
              <w:ind w:left="0" w:leftChars="0" w:firstLine="0" w:firstLineChars="0"/>
              <w:jc w:val="center"/>
              <w:rPr>
                <w:rFonts w:hint="default"/>
                <w:lang w:val="en-US" w:eastAsia="zh-CN"/>
              </w:rPr>
            </w:pPr>
            <w:r>
              <w:rPr>
                <w:rFonts w:hint="default"/>
                <w:lang w:val="en-US" w:eastAsia="zh-CN"/>
              </w:rPr>
              <w:t>水质</w:t>
            </w:r>
          </w:p>
          <w:p>
            <w:pPr>
              <w:pStyle w:val="3"/>
              <w:ind w:left="0" w:leftChars="0" w:firstLine="0" w:firstLineChars="0"/>
              <w:jc w:val="center"/>
              <w:rPr>
                <w:rFonts w:hint="default"/>
                <w:lang w:val="en-US" w:eastAsia="zh-CN"/>
              </w:rPr>
            </w:pPr>
            <w:r>
              <w:rPr>
                <w:rFonts w:hint="default"/>
                <w:lang w:val="en-US" w:eastAsia="zh-CN"/>
              </w:rPr>
              <w:t>硝酸盐氮</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204727</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2.16±0.14mg/L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2.21mg/L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13</w:t>
            </w:r>
          </w:p>
        </w:tc>
        <w:tc>
          <w:tcPr>
            <w:tcW w:w="694" w:type="pct"/>
            <w:vAlign w:val="center"/>
          </w:tcPr>
          <w:p>
            <w:pPr>
              <w:pStyle w:val="3"/>
              <w:ind w:left="0" w:leftChars="0" w:firstLine="0" w:firstLineChars="0"/>
              <w:jc w:val="center"/>
              <w:rPr>
                <w:rFonts w:hint="default"/>
                <w:lang w:val="en-US" w:eastAsia="zh-CN"/>
              </w:rPr>
            </w:pPr>
            <w:r>
              <w:rPr>
                <w:rFonts w:hint="default"/>
                <w:lang w:val="en-US" w:eastAsia="zh-CN"/>
              </w:rPr>
              <w:t>水质</w:t>
            </w:r>
          </w:p>
          <w:p>
            <w:pPr>
              <w:pStyle w:val="3"/>
              <w:ind w:left="0" w:leftChars="0" w:firstLine="0" w:firstLineChars="0"/>
              <w:jc w:val="center"/>
              <w:rPr>
                <w:rFonts w:hint="default"/>
                <w:lang w:val="en-US" w:eastAsia="zh-CN"/>
              </w:rPr>
            </w:pPr>
            <w:r>
              <w:rPr>
                <w:rFonts w:hint="default"/>
                <w:lang w:val="en-US" w:eastAsia="zh-CN"/>
              </w:rPr>
              <w:t>硫酸盐</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204727</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14.1±0.7mg/L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14.4mg/L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14</w:t>
            </w:r>
          </w:p>
        </w:tc>
        <w:tc>
          <w:tcPr>
            <w:tcW w:w="694" w:type="pct"/>
            <w:vAlign w:val="center"/>
          </w:tcPr>
          <w:p>
            <w:pPr>
              <w:pStyle w:val="3"/>
              <w:ind w:left="0" w:leftChars="0" w:firstLine="0" w:firstLineChars="0"/>
              <w:jc w:val="center"/>
              <w:rPr>
                <w:rFonts w:hint="default"/>
                <w:lang w:val="en-US" w:eastAsia="zh-CN"/>
              </w:rPr>
            </w:pPr>
            <w:r>
              <w:rPr>
                <w:rFonts w:hint="default"/>
                <w:lang w:val="en-US" w:eastAsia="zh-CN"/>
              </w:rPr>
              <w:t>水质</w:t>
            </w:r>
          </w:p>
          <w:p>
            <w:pPr>
              <w:pStyle w:val="3"/>
              <w:ind w:left="0" w:leftChars="0" w:firstLine="0" w:firstLineChars="0"/>
              <w:jc w:val="center"/>
              <w:rPr>
                <w:rFonts w:hint="default"/>
                <w:lang w:val="en-US" w:eastAsia="zh-CN"/>
              </w:rPr>
            </w:pPr>
            <w:r>
              <w:rPr>
                <w:rFonts w:hint="default"/>
                <w:lang w:val="en-US" w:eastAsia="zh-CN"/>
              </w:rPr>
              <w:t>氯化物</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204727</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9.90±0.39mg/L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10.1mg/L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trPr>
        <w:tc>
          <w:tcPr>
            <w:tcW w:w="343" w:type="pct"/>
            <w:vAlign w:val="center"/>
          </w:tcPr>
          <w:p>
            <w:pPr>
              <w:pStyle w:val="3"/>
              <w:ind w:left="0" w:leftChars="0" w:firstLine="0" w:firstLineChars="0"/>
              <w:jc w:val="center"/>
              <w:rPr>
                <w:rFonts w:hint="default"/>
                <w:lang w:val="en-US" w:eastAsia="zh-CN"/>
              </w:rPr>
            </w:pPr>
            <w:r>
              <w:rPr>
                <w:rFonts w:hint="default"/>
                <w:lang w:val="en-US" w:eastAsia="zh-CN"/>
              </w:rPr>
              <w:t>15</w:t>
            </w:r>
          </w:p>
        </w:tc>
        <w:tc>
          <w:tcPr>
            <w:tcW w:w="694" w:type="pct"/>
            <w:vAlign w:val="center"/>
          </w:tcPr>
          <w:p>
            <w:pPr>
              <w:pStyle w:val="3"/>
              <w:ind w:left="0" w:leftChars="0" w:firstLine="0" w:firstLineChars="0"/>
              <w:jc w:val="center"/>
              <w:rPr>
                <w:rFonts w:hint="default"/>
                <w:lang w:val="en-US" w:eastAsia="zh-CN"/>
              </w:rPr>
            </w:pPr>
            <w:r>
              <w:rPr>
                <w:rFonts w:hint="default"/>
                <w:lang w:val="en-US" w:eastAsia="zh-CN"/>
              </w:rPr>
              <w:t>水质</w:t>
            </w:r>
          </w:p>
          <w:p>
            <w:pPr>
              <w:pStyle w:val="3"/>
              <w:ind w:left="0" w:leftChars="0" w:firstLine="0" w:firstLineChars="0"/>
              <w:jc w:val="center"/>
              <w:rPr>
                <w:rFonts w:hint="default"/>
                <w:lang w:val="en-US" w:eastAsia="zh-CN"/>
              </w:rPr>
            </w:pPr>
            <w:r>
              <w:rPr>
                <w:rFonts w:hint="default"/>
                <w:lang w:val="en-US" w:eastAsia="zh-CN"/>
              </w:rPr>
              <w:t>氟化物</w:t>
            </w:r>
          </w:p>
        </w:tc>
        <w:tc>
          <w:tcPr>
            <w:tcW w:w="760" w:type="pct"/>
            <w:vAlign w:val="center"/>
          </w:tcPr>
          <w:p>
            <w:pPr>
              <w:pStyle w:val="3"/>
              <w:ind w:left="0" w:leftChars="0" w:firstLine="0" w:firstLineChars="0"/>
              <w:jc w:val="center"/>
              <w:rPr>
                <w:rFonts w:hint="default"/>
                <w:lang w:val="en-US" w:eastAsia="zh-CN"/>
              </w:rPr>
            </w:pPr>
            <w:r>
              <w:rPr>
                <w:rFonts w:hint="default"/>
                <w:lang w:val="en-US" w:eastAsia="zh-CN"/>
              </w:rPr>
              <w:t>204727</w:t>
            </w:r>
          </w:p>
        </w:tc>
        <w:tc>
          <w:tcPr>
            <w:tcW w:w="1091" w:type="pct"/>
            <w:vAlign w:val="center"/>
          </w:tcPr>
          <w:p>
            <w:pPr>
              <w:pStyle w:val="3"/>
              <w:ind w:left="0" w:leftChars="0" w:firstLine="0" w:firstLineChars="0"/>
              <w:jc w:val="center"/>
              <w:rPr>
                <w:rFonts w:hint="default"/>
                <w:lang w:val="en-US" w:eastAsia="zh-CN"/>
              </w:rPr>
            </w:pPr>
            <w:r>
              <w:rPr>
                <w:rFonts w:hint="default"/>
                <w:lang w:val="en-US" w:eastAsia="zh-CN"/>
              </w:rPr>
              <w:t>1.83±0.09mgL</w:t>
            </w:r>
          </w:p>
        </w:tc>
        <w:tc>
          <w:tcPr>
            <w:tcW w:w="504" w:type="pct"/>
            <w:vAlign w:val="center"/>
          </w:tcPr>
          <w:p>
            <w:pPr>
              <w:pStyle w:val="3"/>
              <w:ind w:left="0" w:leftChars="0" w:firstLine="0" w:firstLineChars="0"/>
              <w:jc w:val="center"/>
              <w:rPr>
                <w:rFonts w:hint="default"/>
                <w:lang w:val="en-US" w:eastAsia="zh-CN"/>
              </w:rPr>
            </w:pPr>
            <w:r>
              <w:rPr>
                <w:rFonts w:hint="default"/>
                <w:lang w:val="en-US" w:eastAsia="zh-CN"/>
              </w:rPr>
              <w:t>1</w:t>
            </w:r>
          </w:p>
        </w:tc>
        <w:tc>
          <w:tcPr>
            <w:tcW w:w="793" w:type="pct"/>
            <w:vAlign w:val="center"/>
          </w:tcPr>
          <w:p>
            <w:pPr>
              <w:pStyle w:val="3"/>
              <w:ind w:left="0" w:leftChars="0" w:firstLine="0" w:firstLineChars="0"/>
              <w:jc w:val="center"/>
              <w:rPr>
                <w:rFonts w:hint="default"/>
                <w:lang w:val="en-US" w:eastAsia="zh-CN"/>
              </w:rPr>
            </w:pPr>
            <w:r>
              <w:rPr>
                <w:rFonts w:hint="default"/>
                <w:lang w:val="en-US" w:eastAsia="zh-CN"/>
              </w:rPr>
              <w:t>1.86mg/L</w:t>
            </w:r>
          </w:p>
        </w:tc>
        <w:tc>
          <w:tcPr>
            <w:tcW w:w="813" w:type="pct"/>
            <w:vAlign w:val="center"/>
          </w:tcPr>
          <w:p>
            <w:pPr>
              <w:pStyle w:val="3"/>
              <w:ind w:left="0" w:leftChars="0" w:firstLine="0" w:firstLineChars="0"/>
              <w:jc w:val="center"/>
              <w:rPr>
                <w:rFonts w:hint="default"/>
                <w:lang w:val="en-US" w:eastAsia="zh-CN"/>
              </w:rPr>
            </w:pPr>
            <w:r>
              <w:rPr>
                <w:rFonts w:hint="default"/>
                <w:lang w:val="en-US" w:eastAsia="zh-CN"/>
              </w:rPr>
              <w:t>合格</w:t>
            </w:r>
          </w:p>
        </w:tc>
      </w:tr>
    </w:tbl>
    <w:p>
      <w:pPr>
        <w:pStyle w:val="3"/>
        <w:rPr>
          <w:rFonts w:hint="default"/>
        </w:rPr>
      </w:pP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当没有合适的土壤或地下水基体有证标准物质时，应采用加标回收率试验对准确度进行控制。每批次同类型分析样品中，应随机抽取5％（地下水为10%）的样品进行加标回收率试验；当批次分析样品数＜20（地下水为10）时，应至少随机抽取1个样品进行加标回收率试验。</w:t>
      </w:r>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次监测加标回收样测试结果符合《土壤环境监测技术规范》（HJ/T166-2004）、《地下水环境监测技术规范》（HJ/T164-2004）、《环境水质监测质量保证手册》（第四版）、《重点行业企业用地调查质量保证与质量控制技术规定》（试行）及国家或行业标准等相关要求，质控结果全部合格，实验室加标回收样质控统计表见表1</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rPr>
        <w:t>。</w:t>
      </w:r>
    </w:p>
    <w:p>
      <w:pPr>
        <w:pStyle w:val="2"/>
        <w:spacing w:line="360" w:lineRule="auto"/>
        <w:ind w:left="0" w:leftChars="0"/>
        <w:jc w:val="center"/>
        <w:rPr>
          <w:rFonts w:hint="default"/>
        </w:rPr>
      </w:pPr>
      <w:r>
        <w:rPr>
          <w:rFonts w:hint="default" w:ascii="Times New Roman" w:hAnsi="Times New Roman" w:cs="Times New Roman"/>
          <w:b/>
          <w:bCs/>
          <w:sz w:val="24"/>
          <w:szCs w:val="24"/>
        </w:rPr>
        <w:t>表1</w:t>
      </w:r>
      <w:r>
        <w:rPr>
          <w:rFonts w:hint="eastAsia" w:ascii="Times New Roman" w:hAnsi="Times New Roman" w:cs="Times New Roman"/>
          <w:b/>
          <w:bCs/>
          <w:sz w:val="24"/>
          <w:szCs w:val="24"/>
          <w:lang w:val="en-US" w:eastAsia="zh-CN"/>
        </w:rPr>
        <w:t>4</w:t>
      </w:r>
      <w:r>
        <w:rPr>
          <w:rFonts w:hint="default" w:ascii="Times New Roman" w:hAnsi="Times New Roman" w:cs="Times New Roman"/>
          <w:b/>
          <w:bCs/>
          <w:sz w:val="24"/>
          <w:szCs w:val="24"/>
        </w:rPr>
        <w:t xml:space="preserve"> 实验室加标回收样质控统计表</w:t>
      </w:r>
    </w:p>
    <w:tbl>
      <w:tblPr>
        <w:tblStyle w:val="9"/>
        <w:tblW w:w="50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855"/>
        <w:gridCol w:w="780"/>
        <w:gridCol w:w="1035"/>
        <w:gridCol w:w="825"/>
        <w:gridCol w:w="660"/>
        <w:gridCol w:w="855"/>
        <w:gridCol w:w="713"/>
        <w:gridCol w:w="922"/>
        <w:gridCol w:w="654"/>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blHeader/>
          <w:jc w:val="center"/>
        </w:trPr>
        <w:tc>
          <w:tcPr>
            <w:tcW w:w="280"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Theme="minorEastAsia" w:cstheme="minorBidi"/>
                <w:b/>
                <w:bCs/>
                <w:color w:val="auto"/>
                <w:kern w:val="2"/>
                <w:sz w:val="18"/>
                <w:szCs w:val="18"/>
                <w:lang w:val="en-US" w:eastAsia="zh-CN" w:bidi="ar-SA"/>
              </w:rPr>
            </w:pPr>
            <w:r>
              <w:rPr>
                <w:rFonts w:hint="eastAsia" w:ascii="Times New Roman" w:hAnsi="宋体"/>
                <w:b/>
                <w:bCs/>
                <w:color w:val="auto"/>
                <w:sz w:val="18"/>
                <w:szCs w:val="18"/>
              </w:rPr>
              <w:t>序号</w:t>
            </w:r>
          </w:p>
        </w:tc>
        <w:tc>
          <w:tcPr>
            <w:tcW w:w="498"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Theme="minorEastAsia" w:cstheme="minorBidi"/>
                <w:b/>
                <w:bCs/>
                <w:color w:val="auto"/>
                <w:kern w:val="2"/>
                <w:sz w:val="18"/>
                <w:szCs w:val="18"/>
                <w:lang w:val="en-US" w:eastAsia="zh-CN" w:bidi="ar-SA"/>
              </w:rPr>
            </w:pPr>
            <w:r>
              <w:rPr>
                <w:rFonts w:hint="eastAsia" w:ascii="Times New Roman" w:hAnsi="宋体"/>
                <w:b/>
                <w:bCs/>
                <w:color w:val="auto"/>
                <w:sz w:val="18"/>
                <w:szCs w:val="18"/>
              </w:rPr>
              <w:t>检测类别及项目</w:t>
            </w:r>
          </w:p>
        </w:tc>
        <w:tc>
          <w:tcPr>
            <w:tcW w:w="455"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eastAsia="宋体" w:cs="Times New Roman"/>
                <w:b/>
                <w:bCs/>
                <w:color w:val="auto"/>
                <w:kern w:val="2"/>
                <w:sz w:val="18"/>
                <w:szCs w:val="18"/>
                <w:highlight w:val="none"/>
                <w:lang w:val="en-US" w:eastAsia="zh-CN" w:bidi="ar-SA"/>
              </w:rPr>
            </w:pPr>
            <w:r>
              <w:rPr>
                <w:rFonts w:hint="eastAsia" w:ascii="Times New Roman" w:hAnsi="宋体"/>
                <w:b/>
                <w:bCs/>
                <w:color w:val="auto"/>
                <w:sz w:val="18"/>
                <w:szCs w:val="18"/>
                <w:highlight w:val="none"/>
                <w:lang w:eastAsia="zh-CN"/>
              </w:rPr>
              <w:t>加标样个数</w:t>
            </w:r>
          </w:p>
        </w:tc>
        <w:tc>
          <w:tcPr>
            <w:tcW w:w="603"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b/>
                <w:bCs/>
                <w:color w:val="auto"/>
                <w:sz w:val="18"/>
                <w:szCs w:val="18"/>
                <w:highlight w:val="none"/>
                <w:lang w:eastAsia="zh-CN"/>
              </w:rPr>
            </w:pPr>
            <w:r>
              <w:rPr>
                <w:rFonts w:hint="eastAsia" w:ascii="Times New Roman" w:hAnsi="宋体"/>
                <w:b/>
                <w:bCs/>
                <w:color w:val="auto"/>
                <w:sz w:val="18"/>
                <w:szCs w:val="18"/>
                <w:highlight w:val="none"/>
                <w:lang w:eastAsia="zh-CN"/>
              </w:rPr>
              <w:t>单位</w:t>
            </w:r>
          </w:p>
        </w:tc>
        <w:tc>
          <w:tcPr>
            <w:tcW w:w="481"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b/>
                <w:bCs/>
                <w:color w:val="auto"/>
                <w:sz w:val="18"/>
                <w:szCs w:val="18"/>
                <w:highlight w:val="none"/>
                <w:lang w:val="en-US" w:eastAsia="zh-CN"/>
              </w:rPr>
            </w:pPr>
            <w:r>
              <w:rPr>
                <w:rFonts w:hint="default" w:ascii="Times New Roman" w:hAnsi="宋体"/>
                <w:b/>
                <w:bCs/>
                <w:color w:val="auto"/>
                <w:sz w:val="18"/>
                <w:szCs w:val="18"/>
                <w:highlight w:val="none"/>
                <w:lang w:eastAsia="zh-CN"/>
              </w:rPr>
              <w:t>加标前测定值</w:t>
            </w:r>
          </w:p>
        </w:tc>
        <w:tc>
          <w:tcPr>
            <w:tcW w:w="385"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b/>
                <w:bCs/>
                <w:color w:val="auto"/>
                <w:sz w:val="18"/>
                <w:szCs w:val="18"/>
                <w:highlight w:val="none"/>
                <w:lang w:val="en-US" w:eastAsia="zh-CN"/>
              </w:rPr>
            </w:pPr>
            <w:r>
              <w:rPr>
                <w:rFonts w:hint="default" w:ascii="Times New Roman" w:hAnsi="宋体"/>
                <w:b/>
                <w:bCs/>
                <w:color w:val="auto"/>
                <w:sz w:val="18"/>
                <w:szCs w:val="18"/>
                <w:highlight w:val="none"/>
                <w:lang w:eastAsia="zh-CN"/>
              </w:rPr>
              <w:t>加标量</w:t>
            </w:r>
          </w:p>
        </w:tc>
        <w:tc>
          <w:tcPr>
            <w:tcW w:w="498"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b/>
                <w:bCs/>
                <w:color w:val="auto"/>
                <w:sz w:val="18"/>
                <w:szCs w:val="18"/>
                <w:highlight w:val="none"/>
                <w:lang w:val="en-US" w:eastAsia="zh-CN"/>
              </w:rPr>
            </w:pPr>
            <w:r>
              <w:rPr>
                <w:rFonts w:hint="default" w:ascii="Times New Roman" w:hAnsi="宋体"/>
                <w:b/>
                <w:bCs/>
                <w:color w:val="auto"/>
                <w:sz w:val="18"/>
                <w:szCs w:val="18"/>
                <w:highlight w:val="none"/>
                <w:lang w:eastAsia="zh-CN"/>
              </w:rPr>
              <w:t>加标后测定值</w:t>
            </w:r>
          </w:p>
        </w:tc>
        <w:tc>
          <w:tcPr>
            <w:tcW w:w="415"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eastAsia="宋体" w:cs="Times New Roman"/>
                <w:b/>
                <w:bCs/>
                <w:color w:val="auto"/>
                <w:kern w:val="2"/>
                <w:sz w:val="18"/>
                <w:szCs w:val="18"/>
                <w:highlight w:val="none"/>
                <w:lang w:val="en-US" w:eastAsia="zh-CN" w:bidi="ar-SA"/>
              </w:rPr>
            </w:pPr>
            <w:r>
              <w:rPr>
                <w:rFonts w:hint="eastAsia" w:ascii="Times New Roman" w:hAnsi="宋体"/>
                <w:b/>
                <w:bCs/>
                <w:color w:val="auto"/>
                <w:sz w:val="18"/>
                <w:szCs w:val="18"/>
                <w:highlight w:val="none"/>
                <w:lang w:eastAsia="zh-CN"/>
              </w:rPr>
              <w:t>加标回收率（</w:t>
            </w:r>
            <w:r>
              <w:rPr>
                <w:rFonts w:hint="eastAsia" w:ascii="Times New Roman" w:hAnsi="宋体"/>
                <w:b/>
                <w:bCs/>
                <w:color w:val="auto"/>
                <w:sz w:val="18"/>
                <w:szCs w:val="18"/>
                <w:highlight w:val="none"/>
                <w:lang w:val="en-US" w:eastAsia="zh-CN"/>
              </w:rPr>
              <w:t>%</w:t>
            </w:r>
            <w:r>
              <w:rPr>
                <w:rFonts w:hint="eastAsia" w:ascii="Times New Roman" w:hAnsi="宋体"/>
                <w:b/>
                <w:bCs/>
                <w:color w:val="auto"/>
                <w:sz w:val="18"/>
                <w:szCs w:val="18"/>
                <w:highlight w:val="none"/>
                <w:lang w:eastAsia="zh-CN"/>
              </w:rPr>
              <w:t>）</w:t>
            </w:r>
          </w:p>
        </w:tc>
        <w:tc>
          <w:tcPr>
            <w:tcW w:w="919" w:type="pct"/>
            <w:gridSpan w:val="2"/>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宋体" w:eastAsia="宋体" w:cs="Times New Roman"/>
                <w:b/>
                <w:bCs/>
                <w:color w:val="auto"/>
                <w:kern w:val="2"/>
                <w:sz w:val="18"/>
                <w:szCs w:val="18"/>
                <w:lang w:val="en-US" w:eastAsia="zh-CN" w:bidi="ar-SA"/>
              </w:rPr>
            </w:pPr>
            <w:r>
              <w:rPr>
                <w:rFonts w:hint="eastAsia" w:ascii="Times New Roman" w:hAnsi="宋体"/>
                <w:b/>
                <w:bCs/>
                <w:color w:val="auto"/>
                <w:sz w:val="18"/>
                <w:szCs w:val="18"/>
                <w:lang w:eastAsia="zh-CN"/>
              </w:rPr>
              <w:t>判定标准</w:t>
            </w:r>
          </w:p>
        </w:tc>
        <w:tc>
          <w:tcPr>
            <w:tcW w:w="461" w:type="pct"/>
            <w:vMerge w:val="restar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eastAsia="宋体" w:cs="Times New Roman"/>
                <w:b/>
                <w:bCs/>
                <w:color w:val="auto"/>
                <w:kern w:val="2"/>
                <w:sz w:val="18"/>
                <w:szCs w:val="18"/>
                <w:lang w:val="en-US" w:eastAsia="zh-CN" w:bidi="ar-SA"/>
              </w:rPr>
            </w:pPr>
            <w:r>
              <w:rPr>
                <w:rFonts w:hint="eastAsia" w:ascii="Times New Roman" w:hAnsi="宋体"/>
                <w:b/>
                <w:bCs/>
                <w:color w:val="auto"/>
                <w:sz w:val="18"/>
                <w:szCs w:val="18"/>
                <w:lang w:eastAsia="zh-CN"/>
              </w:rPr>
              <w:t>结果判定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blHeader/>
          <w:jc w:val="center"/>
        </w:trPr>
        <w:tc>
          <w:tcPr>
            <w:tcW w:w="280"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498"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455"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603"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481"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385"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498"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415"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b/>
                <w:bCs/>
              </w:rPr>
            </w:pPr>
          </w:p>
        </w:tc>
        <w:tc>
          <w:tcPr>
            <w:tcW w:w="537" w:type="pct"/>
            <w:vAlign w:val="center"/>
          </w:tcPr>
          <w:p>
            <w:pPr>
              <w:keepNext w:val="0"/>
              <w:keepLines w:val="0"/>
              <w:pageBreakBefore w:val="0"/>
              <w:widowControl w:val="0"/>
              <w:kinsoku/>
              <w:wordWrap/>
              <w:overflowPunct w:val="0"/>
              <w:autoSpaceDE/>
              <w:autoSpaceDN/>
              <w:bidi w:val="0"/>
              <w:adjustRightInd w:val="0"/>
              <w:snapToGrid w:val="0"/>
              <w:spacing w:line="240" w:lineRule="auto"/>
              <w:jc w:val="center"/>
              <w:textAlignment w:val="baseline"/>
              <w:rPr>
                <w:rFonts w:hint="eastAsia" w:ascii="Times New Roman" w:hAnsi="Times New Roman" w:cs="Times New Roman" w:eastAsiaTheme="minorEastAsia"/>
                <w:b/>
                <w:bCs/>
                <w:color w:val="auto"/>
                <w:kern w:val="2"/>
                <w:sz w:val="18"/>
                <w:szCs w:val="18"/>
                <w:lang w:val="en-US" w:eastAsia="zh-CN" w:bidi="ar-SA"/>
              </w:rPr>
            </w:pPr>
            <w:r>
              <w:rPr>
                <w:rFonts w:hint="eastAsia" w:ascii="Times New Roman" w:hAnsi="Times New Roman" w:cs="Times New Roman" w:eastAsiaTheme="minorEastAsia"/>
                <w:b/>
                <w:bCs/>
                <w:color w:val="auto"/>
                <w:kern w:val="2"/>
                <w:sz w:val="18"/>
                <w:szCs w:val="18"/>
                <w:lang w:val="en-US" w:eastAsia="zh-CN" w:bidi="ar-SA"/>
              </w:rPr>
              <w:t>样品含量</w:t>
            </w:r>
          </w:p>
          <w:p>
            <w:pPr>
              <w:keepNext w:val="0"/>
              <w:keepLines w:val="0"/>
              <w:pageBreakBefore w:val="0"/>
              <w:widowControl w:val="0"/>
              <w:kinsoku/>
              <w:wordWrap/>
              <w:overflowPunct w:val="0"/>
              <w:autoSpaceDE/>
              <w:autoSpaceDN/>
              <w:bidi w:val="0"/>
              <w:adjustRightInd w:val="0"/>
              <w:snapToGrid w:val="0"/>
              <w:spacing w:line="240" w:lineRule="auto"/>
              <w:jc w:val="center"/>
              <w:textAlignment w:val="baseline"/>
              <w:rPr>
                <w:rFonts w:hint="eastAsia" w:ascii="Times New Roman" w:hAnsi="Times New Roman" w:cs="Times New Roman" w:eastAsiaTheme="minorEastAsia"/>
                <w:b/>
                <w:bCs/>
                <w:color w:val="auto"/>
                <w:kern w:val="2"/>
                <w:sz w:val="18"/>
                <w:szCs w:val="18"/>
                <w:lang w:val="en-US" w:eastAsia="zh-CN" w:bidi="ar-SA"/>
              </w:rPr>
            </w:pPr>
            <w:r>
              <w:rPr>
                <w:rFonts w:hint="eastAsia" w:ascii="Times New Roman" w:hAnsi="Times New Roman" w:cs="Times New Roman" w:eastAsiaTheme="minorEastAsia"/>
                <w:b/>
                <w:bCs/>
                <w:color w:val="auto"/>
                <w:kern w:val="2"/>
                <w:sz w:val="18"/>
                <w:szCs w:val="18"/>
                <w:lang w:val="en-US" w:eastAsia="zh-CN" w:bidi="ar-SA"/>
              </w:rPr>
              <w:t>范围</w:t>
            </w:r>
          </w:p>
        </w:tc>
        <w:tc>
          <w:tcPr>
            <w:tcW w:w="381" w:type="pc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eastAsia="宋体" w:cs="Times New Roman"/>
                <w:b/>
                <w:bCs/>
                <w:color w:val="auto"/>
                <w:kern w:val="2"/>
                <w:sz w:val="18"/>
                <w:szCs w:val="18"/>
                <w:lang w:val="en-US" w:eastAsia="zh-CN" w:bidi="ar-SA"/>
              </w:rPr>
            </w:pPr>
            <w:r>
              <w:rPr>
                <w:rFonts w:hint="eastAsia" w:ascii="Times New Roman" w:hAnsi="宋体"/>
                <w:b/>
                <w:bCs/>
                <w:color w:val="auto"/>
                <w:sz w:val="18"/>
                <w:szCs w:val="18"/>
                <w:lang w:eastAsia="zh-CN"/>
              </w:rPr>
              <w:t>加标回收率（</w:t>
            </w:r>
            <w:r>
              <w:rPr>
                <w:rFonts w:hint="eastAsia" w:ascii="Times New Roman" w:hAnsi="宋体"/>
                <w:b/>
                <w:bCs/>
                <w:color w:val="auto"/>
                <w:sz w:val="18"/>
                <w:szCs w:val="18"/>
                <w:lang w:val="en-US" w:eastAsia="zh-CN"/>
              </w:rPr>
              <w:t>%</w:t>
            </w:r>
            <w:r>
              <w:rPr>
                <w:rFonts w:hint="eastAsia" w:ascii="Times New Roman" w:hAnsi="宋体"/>
                <w:b/>
                <w:bCs/>
                <w:color w:val="auto"/>
                <w:sz w:val="18"/>
                <w:szCs w:val="18"/>
                <w:lang w:eastAsia="zh-CN"/>
              </w:rPr>
              <w:t>）</w:t>
            </w:r>
          </w:p>
        </w:tc>
        <w:tc>
          <w:tcPr>
            <w:tcW w:w="461" w:type="pct"/>
            <w:vMerge w:val="continue"/>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宋体"/>
                <w:b/>
                <w:bCs/>
                <w:color w:val="auto"/>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硝基苯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15.0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60</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60～140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15.0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61</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苯胺</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15.0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60</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60～140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eastAsia" w:ascii="Times New Roman" w:hAnsi="Times New Roman" w:cs="Times New Roman"/>
                <w:color w:val="auto"/>
                <w:kern w:val="2"/>
                <w:sz w:val="18"/>
                <w:szCs w:val="18"/>
                <w:highlight w:val="none"/>
                <w:lang w:val="en-US" w:eastAsia="zh-CN" w:bidi="ar-SA"/>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15.0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9.2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61</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甲苯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76.8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96</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74.1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92</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4</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94.7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91.6</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114</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邻二甲苯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70.4</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68.2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85</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6</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间+对二甲苯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85.1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106</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81.6</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102</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7</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82.9</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103</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100</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8</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乙苯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75.1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93</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71.9</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89</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9</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氯苯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72.9</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91</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72.3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eastAsiaTheme="minorEastAsia"/>
                <w:lang w:val="en-US" w:eastAsia="zh-CN"/>
              </w:rPr>
            </w:pPr>
            <w:r>
              <w:rPr>
                <w:rFonts w:hint="eastAsia" w:ascii="Times New Roman" w:hAnsi="Times New Roman" w:eastAsia="宋体" w:cs="Times New Roman"/>
                <w:color w:val="auto"/>
                <w:sz w:val="18"/>
                <w:szCs w:val="18"/>
                <w:lang w:val="en-US" w:eastAsia="zh-CN"/>
              </w:rPr>
              <w:t>90</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10</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99.4</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124</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92.0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115</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11</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1,4-二氯苯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65.7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82</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59.2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74</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12</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w:t>
            </w:r>
            <w:r>
              <w:rPr>
                <w:rFonts w:hint="eastAsia" w:ascii="Times New Roman" w:hAnsi="Times New Roman"/>
                <w:color w:val="auto"/>
                <w:sz w:val="18"/>
                <w:szCs w:val="18"/>
                <w:lang w:val="en-US" w:eastAsia="zh-CN"/>
              </w:rPr>
              <w:t>2</w:t>
            </w:r>
            <w:r>
              <w:rPr>
                <w:rFonts w:hint="eastAsia" w:ascii="Times New Roman" w:hAnsi="Times New Roman"/>
                <w:color w:val="auto"/>
                <w:sz w:val="18"/>
                <w:szCs w:val="18"/>
                <w:lang w:eastAsia="zh-CN"/>
              </w:rPr>
              <w:t>-二氯苯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71.8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89</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70.0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87</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13</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1,1,2-三氯乙烷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90.1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112</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91.1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113</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14</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1,2,3-三氯丙烷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103.0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103.4</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129</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15</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1,1,1,2-四氯乙烷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76.0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95</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74.7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93</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16</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1,1,2,2-四氯乙烷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102.7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101.6</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127</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17</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1,1,1-三氯乙烷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64.2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58.3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72</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18</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三氯乙烯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76.2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95</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75.8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94</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19</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四氯乙烯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79.9</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76.6</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95</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20</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二氯甲烷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96.4</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120</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94.8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118</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21</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1,2-二氯丙烷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86.8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85.8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107</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22</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反-1,2-二氯乙烯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79.1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75.7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94</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highlight w:val="none"/>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highlight w:val="none"/>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23</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顺-1,2-二氯乙烯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79.3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78.0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97</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24</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1,1-二氯乙烯</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102.7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128</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98.0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122</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25</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1,2-二氯乙烷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93.8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117</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93.2</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116</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26</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1,</w:t>
            </w:r>
            <w:r>
              <w:rPr>
                <w:rFonts w:hint="eastAsia" w:ascii="Times New Roman" w:hAnsi="Times New Roman"/>
                <w:color w:val="auto"/>
                <w:sz w:val="18"/>
                <w:szCs w:val="18"/>
                <w:lang w:val="en-US" w:eastAsia="zh-CN"/>
              </w:rPr>
              <w:t>1</w:t>
            </w:r>
            <w:r>
              <w:rPr>
                <w:rFonts w:hint="eastAsia" w:ascii="Times New Roman" w:hAnsi="Times New Roman"/>
                <w:color w:val="auto"/>
                <w:sz w:val="18"/>
                <w:szCs w:val="18"/>
                <w:lang w:eastAsia="zh-CN"/>
              </w:rPr>
              <w:t>-二氯乙烷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84.0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105</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78.7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98</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27</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氯甲烷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126</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94.3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117</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28</w:t>
            </w:r>
          </w:p>
        </w:tc>
        <w:tc>
          <w:tcPr>
            <w:tcW w:w="498"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三氯甲烷</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94.1</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117</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91.3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114</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29</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四氯化碳</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78.0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97</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70～130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71.5</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89</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30</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2-氯酚</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74</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50～140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5.0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74</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31</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苯并</w:t>
            </w:r>
            <w:r>
              <w:rPr>
                <w:rFonts w:hint="eastAsia" w:ascii="Times New Roman" w:hAnsi="Times New Roman" w:cs="Times New Roman"/>
                <w:color w:val="auto"/>
                <w:sz w:val="18"/>
                <w:szCs w:val="18"/>
                <w:lang w:val="en-US" w:eastAsia="zh-CN"/>
              </w:rPr>
              <w:t>[a]</w:t>
            </w:r>
            <w:r>
              <w:rPr>
                <w:rFonts w:hint="eastAsia" w:ascii="Times New Roman" w:hAnsi="Times New Roman" w:cs="Times New Roman"/>
                <w:color w:val="auto"/>
                <w:sz w:val="18"/>
                <w:szCs w:val="18"/>
                <w:lang w:eastAsia="zh-CN"/>
              </w:rPr>
              <w:t>蒽</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0.497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82</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0.557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92</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32</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苯并</w:t>
            </w:r>
            <w:r>
              <w:rPr>
                <w:rFonts w:hint="eastAsia" w:ascii="Times New Roman" w:hAnsi="Times New Roman" w:cs="Times New Roman"/>
                <w:color w:val="auto"/>
                <w:sz w:val="18"/>
                <w:szCs w:val="18"/>
                <w:lang w:val="en-US" w:eastAsia="zh-CN"/>
              </w:rPr>
              <w:t>[a]芘</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0.518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86</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101</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33</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苯并</w:t>
            </w:r>
            <w:r>
              <w:rPr>
                <w:rFonts w:hint="eastAsia" w:ascii="Times New Roman" w:hAnsi="Times New Roman" w:cs="Times New Roman"/>
                <w:color w:val="auto"/>
                <w:sz w:val="18"/>
                <w:szCs w:val="18"/>
                <w:lang w:val="en-US" w:eastAsia="zh-CN"/>
              </w:rPr>
              <w:t>[b]荧</w:t>
            </w:r>
            <w:r>
              <w:rPr>
                <w:rFonts w:hint="eastAsia" w:ascii="Times New Roman" w:hAnsi="Times New Roman" w:cs="Times New Roman"/>
                <w:color w:val="auto"/>
                <w:sz w:val="18"/>
                <w:szCs w:val="18"/>
                <w:lang w:eastAsia="zh-CN"/>
              </w:rPr>
              <w:t>蒽</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0.505</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84</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0.593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98</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34</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苯并</w:t>
            </w:r>
            <w:r>
              <w:rPr>
                <w:rFonts w:hint="eastAsia" w:ascii="Times New Roman" w:hAnsi="Times New Roman" w:cs="Times New Roman"/>
                <w:color w:val="auto"/>
                <w:sz w:val="18"/>
                <w:szCs w:val="18"/>
                <w:lang w:val="en-US" w:eastAsia="zh-CN"/>
              </w:rPr>
              <w:t>[k]荧</w:t>
            </w:r>
            <w:r>
              <w:rPr>
                <w:rFonts w:hint="eastAsia" w:ascii="Times New Roman" w:hAnsi="Times New Roman" w:cs="Times New Roman"/>
                <w:color w:val="auto"/>
                <w:sz w:val="18"/>
                <w:szCs w:val="18"/>
                <w:lang w:eastAsia="zh-CN"/>
              </w:rPr>
              <w:t>蒽</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0.525</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87</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0.620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103</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35</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䓛</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0.475</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79</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0.515</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85</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36</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土壤</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萘</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0.514</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94</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0.634</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105</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37</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二苯并[a、h]蒽</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0.520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86</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0.579</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80" w:type="pct"/>
            <w:vMerge w:val="restar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38</w:t>
            </w:r>
          </w:p>
        </w:tc>
        <w:tc>
          <w:tcPr>
            <w:tcW w:w="498" w:type="pct"/>
            <w:vMerge w:val="restar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eastAsia="zh-CN"/>
              </w:rPr>
            </w:pPr>
            <w:r>
              <w:rPr>
                <w:rFonts w:hint="eastAsia" w:ascii="Times New Roman" w:hAnsi="Times New Roman"/>
                <w:color w:val="auto"/>
                <w:sz w:val="18"/>
                <w:szCs w:val="18"/>
                <w:lang w:eastAsia="zh-CN"/>
              </w:rPr>
              <w:t>土壤</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茚并[1,2,3-cd]芘</w:t>
            </w:r>
          </w:p>
        </w:tc>
        <w:tc>
          <w:tcPr>
            <w:tcW w:w="455"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2</w:t>
            </w:r>
          </w:p>
        </w:tc>
        <w:tc>
          <w:tcPr>
            <w:tcW w:w="603"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0.513</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85</w:t>
            </w:r>
          </w:p>
        </w:tc>
        <w:tc>
          <w:tcPr>
            <w:tcW w:w="537"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bCs/>
                <w:color w:val="auto"/>
                <w:kern w:val="0"/>
                <w:sz w:val="18"/>
                <w:szCs w:val="18"/>
                <w:lang w:eastAsia="zh-CN"/>
              </w:rPr>
              <w:t>—</w:t>
            </w:r>
          </w:p>
        </w:tc>
        <w:tc>
          <w:tcPr>
            <w:tcW w:w="38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50～1</w:t>
            </w:r>
            <w:r>
              <w:rPr>
                <w:rFonts w:hint="eastAsia" w:ascii="Times New Roman" w:hAnsi="Times New Roman" w:cs="Times New Roman"/>
                <w:color w:val="auto"/>
                <w:kern w:val="2"/>
                <w:sz w:val="18"/>
                <w:szCs w:val="18"/>
                <w:lang w:val="en-US" w:eastAsia="zh-CN" w:bidi="ar-SA"/>
              </w:rPr>
              <w:t>2</w:t>
            </w:r>
            <w:r>
              <w:rPr>
                <w:rFonts w:hint="default" w:ascii="Times New Roman" w:hAnsi="Times New Roman" w:eastAsia="宋体" w:cs="Times New Roman"/>
                <w:color w:val="auto"/>
                <w:kern w:val="2"/>
                <w:sz w:val="18"/>
                <w:szCs w:val="18"/>
                <w:lang w:val="en-US" w:eastAsia="zh-CN" w:bidi="ar-SA"/>
              </w:rPr>
              <w:t>0</w:t>
            </w:r>
          </w:p>
        </w:tc>
        <w:tc>
          <w:tcPr>
            <w:tcW w:w="461"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280"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98"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55"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603"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pP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sz w:val="18"/>
                <w:szCs w:val="18"/>
                <w:lang w:val="en-US" w:eastAsia="zh-CN"/>
              </w:rPr>
              <w:t>0.600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0.599</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w:t>
            </w:r>
          </w:p>
        </w:tc>
        <w:tc>
          <w:tcPr>
            <w:tcW w:w="537"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38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c>
          <w:tcPr>
            <w:tcW w:w="461" w:type="pct"/>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39</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氨氮</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15.12</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25.25</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101</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0.02~0.1mg/L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0.1~1.0mg/L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90~105</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铜</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520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102</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＜0.1mg/L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0.1~1.0mg/L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41</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锌</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0.500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22.8</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111</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85~120</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42</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铁</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0.100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22.0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109</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＜0.3mg/L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0.3~1.0mg/L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43</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锰</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0.100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21.0</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104</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＜0.1mg/L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0.1~1.0mg/L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44</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olor w:val="auto"/>
                <w:sz w:val="18"/>
                <w:szCs w:val="18"/>
                <w:lang w:val="en-US" w:eastAsia="zh-CN"/>
              </w:rPr>
            </w:pPr>
            <w:r>
              <w:rPr>
                <w:rFonts w:hint="eastAsia" w:ascii="Times New Roman" w:hAnsi="Times New Roman"/>
                <w:color w:val="auto"/>
                <w:sz w:val="18"/>
                <w:szCs w:val="18"/>
                <w:lang w:val="en-US" w:eastAsia="zh-CN"/>
              </w:rPr>
              <w:t>水质</w:t>
            </w:r>
          </w:p>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olor w:val="auto"/>
                <w:sz w:val="18"/>
                <w:szCs w:val="18"/>
                <w:lang w:val="en-US" w:eastAsia="zh-CN"/>
              </w:rPr>
              <w:t>镉</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heme="minorBidi"/>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38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106</w:t>
            </w:r>
          </w:p>
        </w:tc>
        <w:tc>
          <w:tcPr>
            <w:tcW w:w="41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105</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＜0.005mg/L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0.005~0.1mg/L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＞0.1mg/L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45</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六价铬</w:t>
            </w:r>
          </w:p>
        </w:tc>
        <w:tc>
          <w:tcPr>
            <w:tcW w:w="45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0.08</w:t>
            </w:r>
          </w:p>
        </w:tc>
        <w:tc>
          <w:tcPr>
            <w:tcW w:w="38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0.50</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0.60</w:t>
            </w:r>
          </w:p>
        </w:tc>
        <w:tc>
          <w:tcPr>
            <w:tcW w:w="41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104</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＜0.01mg/L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0.01~1.0mg/L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90~105</w:t>
            </w:r>
          </w:p>
        </w:tc>
        <w:tc>
          <w:tcPr>
            <w:tcW w:w="46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46</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铅</w:t>
            </w:r>
          </w:p>
        </w:tc>
        <w:tc>
          <w:tcPr>
            <w:tcW w:w="45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38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500</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474.5</w:t>
            </w:r>
          </w:p>
        </w:tc>
        <w:tc>
          <w:tcPr>
            <w:tcW w:w="41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92</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47</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sz w:val="18"/>
                <w:szCs w:val="18"/>
                <w:lang w:eastAsia="zh-CN"/>
              </w:rPr>
            </w:pPr>
            <w:r>
              <w:rPr>
                <w:rFonts w:hint="eastAsia"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olor w:val="auto"/>
                <w:sz w:val="18"/>
                <w:szCs w:val="18"/>
                <w:lang w:eastAsia="zh-CN"/>
              </w:rPr>
              <w:t>亚硝酸盐</w:t>
            </w:r>
            <w:r>
              <w:rPr>
                <w:rFonts w:hint="default" w:ascii="Times New Roman" w:hAnsi="Times New Roman" w:cs="Times New Roman"/>
                <w:color w:val="auto"/>
                <w:sz w:val="18"/>
                <w:szCs w:val="18"/>
              </w:rPr>
              <w:t>氮</w:t>
            </w:r>
          </w:p>
        </w:tc>
        <w:tc>
          <w:tcPr>
            <w:tcW w:w="45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0.48</w:t>
            </w:r>
          </w:p>
        </w:tc>
        <w:tc>
          <w:tcPr>
            <w:tcW w:w="38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1.45</w:t>
            </w:r>
          </w:p>
        </w:tc>
        <w:tc>
          <w:tcPr>
            <w:tcW w:w="41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宋体" w:cs="Times New Roman"/>
                <w:color w:val="auto"/>
                <w:kern w:val="2"/>
                <w:sz w:val="18"/>
                <w:szCs w:val="18"/>
                <w:lang w:val="en-US" w:eastAsia="zh-CN" w:bidi="ar-SA"/>
              </w:rPr>
              <w:t>97</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0.05~0.2mg/L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＞0.2mg/L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48</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水质</w:t>
            </w:r>
          </w:p>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总硬度</w:t>
            </w:r>
          </w:p>
        </w:tc>
        <w:tc>
          <w:tcPr>
            <w:tcW w:w="45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mg</w:t>
            </w:r>
          </w:p>
        </w:tc>
        <w:tc>
          <w:tcPr>
            <w:tcW w:w="48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9.34</w:t>
            </w:r>
          </w:p>
        </w:tc>
        <w:tc>
          <w:tcPr>
            <w:tcW w:w="38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10.01</w:t>
            </w:r>
          </w:p>
        </w:tc>
        <w:tc>
          <w:tcPr>
            <w:tcW w:w="498"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19.65</w:t>
            </w:r>
          </w:p>
        </w:tc>
        <w:tc>
          <w:tcPr>
            <w:tcW w:w="415"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102</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＜50mg/L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＞50mg/L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49</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铝</w:t>
            </w:r>
          </w:p>
        </w:tc>
        <w:tc>
          <w:tcPr>
            <w:tcW w:w="45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9.40</w:t>
            </w:r>
          </w:p>
        </w:tc>
        <w:tc>
          <w:tcPr>
            <w:tcW w:w="38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498"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29.7</w:t>
            </w:r>
          </w:p>
        </w:tc>
        <w:tc>
          <w:tcPr>
            <w:tcW w:w="415"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101</w:t>
            </w:r>
          </w:p>
        </w:tc>
        <w:tc>
          <w:tcPr>
            <w:tcW w:w="537"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w:t>
            </w:r>
          </w:p>
        </w:tc>
        <w:tc>
          <w:tcPr>
            <w:tcW w:w="38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kern w:val="2"/>
                <w:sz w:val="18"/>
                <w:szCs w:val="18"/>
                <w:lang w:val="en-US" w:eastAsia="zh-CN" w:bidi="ar-SA"/>
              </w:rPr>
              <w:t xml:space="preserve"> 70～120</w:t>
            </w:r>
          </w:p>
        </w:tc>
        <w:tc>
          <w:tcPr>
            <w:tcW w:w="461"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碘</w:t>
            </w:r>
            <w:r>
              <w:rPr>
                <w:rFonts w:hint="default" w:ascii="Times New Roman" w:hAnsi="Times New Roman" w:cs="Times New Roman"/>
                <w:color w:val="auto"/>
                <w:sz w:val="18"/>
                <w:szCs w:val="18"/>
              </w:rPr>
              <w:t>化物</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0.125</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1.10</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97</w:t>
            </w:r>
          </w:p>
        </w:tc>
        <w:tc>
          <w:tcPr>
            <w:tcW w:w="537"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w:t>
            </w:r>
          </w:p>
        </w:tc>
        <w:tc>
          <w:tcPr>
            <w:tcW w:w="381"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90~110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51</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挥发酚</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0.120</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0.500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0.625</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101</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0.05~1.0mg/L</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52</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阴离子表面活性剂</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12.3</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103</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＜0.2mg/L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0.2~0.5mg/L</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＞0.5mg/L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53</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硫化物</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default"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0.25</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10.4</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cstheme="minorBidi"/>
                <w:color w:val="auto"/>
                <w:kern w:val="2"/>
                <w:sz w:val="18"/>
                <w:szCs w:val="18"/>
                <w:lang w:val="en-US" w:eastAsia="zh-CN" w:bidi="ar-SA"/>
              </w:rPr>
              <w:t>101</w:t>
            </w:r>
          </w:p>
        </w:tc>
        <w:tc>
          <w:tcPr>
            <w:tcW w:w="537" w:type="pct"/>
            <w:vAlign w:val="center"/>
          </w:tcPr>
          <w:p>
            <w:pPr>
              <w:keepNext w:val="0"/>
              <w:keepLines w:val="0"/>
              <w:pageBreakBefore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w:t>
            </w:r>
          </w:p>
        </w:tc>
        <w:tc>
          <w:tcPr>
            <w:tcW w:w="3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val="en-US" w:eastAsia="zh-CN"/>
              </w:rPr>
              <w:t>90~110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54</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氰化物</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0.04</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2.00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1.96</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96</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0.05~0.5mg/L</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＞0.5mg/L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85~115</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55</w:t>
            </w:r>
          </w:p>
        </w:tc>
        <w:tc>
          <w:tcPr>
            <w:tcW w:w="498"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三氯甲烷</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835</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104</w:t>
            </w:r>
          </w:p>
        </w:tc>
        <w:tc>
          <w:tcPr>
            <w:tcW w:w="537"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heme="minorBidi"/>
                <w:color w:val="auto"/>
                <w:sz w:val="18"/>
                <w:szCs w:val="18"/>
                <w:lang w:val="en-US" w:eastAsia="zh-CN" w:bidi="ar-SA"/>
              </w:rPr>
              <w:t>—</w:t>
            </w:r>
          </w:p>
        </w:tc>
        <w:tc>
          <w:tcPr>
            <w:tcW w:w="3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 xml:space="preserve"> 60～130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56</w:t>
            </w:r>
          </w:p>
        </w:tc>
        <w:tc>
          <w:tcPr>
            <w:tcW w:w="498" w:type="pc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四氯化碳</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632</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79</w:t>
            </w:r>
          </w:p>
        </w:tc>
        <w:tc>
          <w:tcPr>
            <w:tcW w:w="537"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heme="minorBidi"/>
                <w:color w:val="auto"/>
                <w:sz w:val="18"/>
                <w:szCs w:val="18"/>
                <w:lang w:val="en-US" w:eastAsia="zh-CN" w:bidi="ar-SA"/>
              </w:rPr>
              <w:t>—</w:t>
            </w:r>
          </w:p>
        </w:tc>
        <w:tc>
          <w:tcPr>
            <w:tcW w:w="3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 xml:space="preserve"> 60～130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000000"/>
                <w:kern w:val="2"/>
                <w:sz w:val="18"/>
                <w:szCs w:val="18"/>
                <w:u w:val="none"/>
                <w:lang w:val="en-US" w:eastAsia="zh-CN" w:bidi="ar-SA"/>
              </w:rPr>
            </w:pPr>
            <w:r>
              <w:rPr>
                <w:rFonts w:hint="default" w:ascii="Times New Roman" w:hAnsi="Times New Roman" w:eastAsia="宋体" w:cs="Times New Roman"/>
                <w:i w:val="0"/>
                <w:color w:val="000000"/>
                <w:kern w:val="0"/>
                <w:sz w:val="18"/>
                <w:szCs w:val="18"/>
                <w:u w:val="none"/>
                <w:lang w:val="en-US" w:eastAsia="zh-CN" w:bidi="ar"/>
              </w:rPr>
              <w:t>57</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cs="Times New Roman"/>
                <w:color w:val="auto"/>
                <w:kern w:val="2"/>
                <w:sz w:val="18"/>
                <w:szCs w:val="18"/>
                <w:lang w:val="en-US" w:eastAsia="zh-CN" w:bidi="ar-SA"/>
              </w:rPr>
            </w:pPr>
            <w:r>
              <w:rPr>
                <w:rFonts w:hint="default" w:ascii="Times New Roman" w:hAnsi="Times New Roman" w:cs="Times New Roman"/>
                <w:color w:val="auto"/>
                <w:sz w:val="18"/>
                <w:szCs w:val="18"/>
              </w:rPr>
              <w:t>苯</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836</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104</w:t>
            </w:r>
          </w:p>
        </w:tc>
        <w:tc>
          <w:tcPr>
            <w:tcW w:w="537"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heme="minorBidi"/>
                <w:color w:val="auto"/>
                <w:sz w:val="18"/>
                <w:szCs w:val="18"/>
                <w:lang w:val="en-US" w:eastAsia="zh-CN" w:bidi="ar-SA"/>
              </w:rPr>
              <w:t>—</w:t>
            </w:r>
          </w:p>
        </w:tc>
        <w:tc>
          <w:tcPr>
            <w:tcW w:w="3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 xml:space="preserve"> 60～130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58</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eastAsia" w:ascii="Times New Roman" w:hAnsi="Times New Roman" w:cs="Times New Roman"/>
                <w:color w:val="auto"/>
                <w:sz w:val="18"/>
                <w:szCs w:val="18"/>
                <w:lang w:eastAsia="zh-CN"/>
              </w:rPr>
              <w:t>甲苯</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ng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0</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800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660</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82</w:t>
            </w:r>
          </w:p>
        </w:tc>
        <w:tc>
          <w:tcPr>
            <w:tcW w:w="537"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heme="minorBidi"/>
                <w:color w:val="auto"/>
                <w:sz w:val="18"/>
                <w:szCs w:val="18"/>
                <w:lang w:val="en-US" w:eastAsia="zh-CN" w:bidi="ar-SA"/>
              </w:rPr>
              <w:t>—</w:t>
            </w:r>
          </w:p>
        </w:tc>
        <w:tc>
          <w:tcPr>
            <w:tcW w:w="3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eastAsia="zh-CN"/>
              </w:rPr>
              <w:t xml:space="preserve"> 60～130</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280" w:type="pct"/>
            <w:vAlign w:val="center"/>
          </w:tcPr>
          <w:p>
            <w:pPr>
              <w:keepNext w:val="0"/>
              <w:keepLines w:val="0"/>
              <w:pageBreakBefore w:val="0"/>
              <w:widowControl/>
              <w:suppressLineNumbers w:val="0"/>
              <w:kinsoku/>
              <w:wordWrap/>
              <w:overflowPunct/>
              <w:topLinePunct w:val="0"/>
              <w:autoSpaceDE/>
              <w:autoSpaceDN/>
              <w:bidi w:val="0"/>
              <w:adjustRightInd/>
              <w:spacing w:line="240" w:lineRule="exact"/>
              <w:jc w:val="center"/>
              <w:textAlignment w:val="center"/>
              <w:rPr>
                <w:rFonts w:hint="default" w:ascii="Times New Roman" w:hAnsi="Times New Roman" w:eastAsia="宋体" w:cs="Times New Roman"/>
                <w:i w:val="0"/>
                <w:color w:val="auto"/>
                <w:kern w:val="2"/>
                <w:sz w:val="18"/>
                <w:szCs w:val="18"/>
                <w:u w:val="none"/>
                <w:lang w:val="en-US" w:eastAsia="zh-CN" w:bidi="ar-SA"/>
              </w:rPr>
            </w:pPr>
            <w:r>
              <w:rPr>
                <w:rFonts w:hint="default" w:ascii="Times New Roman" w:hAnsi="Times New Roman" w:eastAsia="宋体" w:cs="Times New Roman"/>
                <w:i w:val="0"/>
                <w:color w:val="auto"/>
                <w:kern w:val="0"/>
                <w:sz w:val="18"/>
                <w:szCs w:val="18"/>
                <w:u w:val="none"/>
                <w:lang w:val="en-US" w:eastAsia="zh-CN" w:bidi="ar"/>
              </w:rPr>
              <w:t>59</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sz w:val="18"/>
                <w:szCs w:val="18"/>
                <w:lang w:eastAsia="zh-CN"/>
              </w:rPr>
            </w:pPr>
            <w:r>
              <w:rPr>
                <w:rFonts w:hint="default" w:ascii="Times New Roman" w:hAnsi="Times New Roman" w:cs="Times New Roman"/>
                <w:color w:val="auto"/>
                <w:sz w:val="18"/>
                <w:szCs w:val="18"/>
                <w:lang w:eastAsia="zh-CN"/>
              </w:rPr>
              <w:t>水质</w:t>
            </w:r>
          </w:p>
          <w:p>
            <w:pPr>
              <w:keepNext w:val="0"/>
              <w:keepLines w:val="0"/>
              <w:pageBreakBefore w:val="0"/>
              <w:kinsoku/>
              <w:wordWrap/>
              <w:overflowPunct/>
              <w:topLinePunct w:val="0"/>
              <w:autoSpaceDE/>
              <w:autoSpaceDN/>
              <w:bidi w:val="0"/>
              <w:adjustRightInd/>
              <w:spacing w:line="240" w:lineRule="exact"/>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钠</w:t>
            </w:r>
          </w:p>
        </w:tc>
        <w:tc>
          <w:tcPr>
            <w:tcW w:w="45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w:t>
            </w:r>
          </w:p>
        </w:tc>
        <w:tc>
          <w:tcPr>
            <w:tcW w:w="603" w:type="pct"/>
            <w:vAlign w:val="center"/>
          </w:tcPr>
          <w:p>
            <w:pPr>
              <w:keepNext w:val="0"/>
              <w:keepLines w:val="0"/>
              <w:pageBreakBefore w:val="0"/>
              <w:widowControl w:val="0"/>
              <w:kinsoku/>
              <w:wordWrap/>
              <w:overflowPunct/>
              <w:topLinePunct w:val="0"/>
              <w:autoSpaceDE/>
              <w:autoSpaceDN/>
              <w:bidi w:val="0"/>
              <w:adjustRightInd/>
              <w:snapToGrid w:val="0"/>
              <w:spacing w:line="240" w:lineRule="exact"/>
              <w:jc w:val="center"/>
              <w:textAlignment w:val="auto"/>
              <w:rPr>
                <w:rFonts w:hint="eastAsia" w:ascii="Times New Roman" w:hAnsi="Times New Roman" w:cs="Times New Roman" w:eastAsiaTheme="minorEastAsia"/>
                <w:color w:val="auto"/>
                <w:kern w:val="2"/>
                <w:sz w:val="18"/>
                <w:szCs w:val="18"/>
                <w:lang w:val="en-US" w:eastAsia="zh-CN" w:bidi="ar-SA"/>
              </w:rPr>
            </w:pPr>
            <w:r>
              <w:rPr>
                <w:rFonts w:hint="default" w:ascii="Times New Roman" w:hAnsi="Times New Roman" w:eastAsia="叶根友毛笔行书2.0版" w:cs="Times New Roman"/>
                <w:b w:val="0"/>
                <w:bCs w:val="0"/>
                <w:color w:val="auto"/>
                <w:sz w:val="18"/>
                <w:szCs w:val="18"/>
                <w:lang w:val="en-US" w:eastAsia="zh-CN"/>
              </w:rPr>
              <w:t>μ</w:t>
            </w:r>
            <w:r>
              <w:rPr>
                <w:rFonts w:hint="default" w:ascii="Times New Roman" w:hAnsi="Times New Roman" w:cs="Times New Roman"/>
                <w:color w:val="auto"/>
                <w:sz w:val="18"/>
                <w:szCs w:val="18"/>
              </w:rPr>
              <w:t>g</w:t>
            </w:r>
          </w:p>
        </w:tc>
        <w:tc>
          <w:tcPr>
            <w:tcW w:w="48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96.6</w:t>
            </w:r>
          </w:p>
        </w:tc>
        <w:tc>
          <w:tcPr>
            <w:tcW w:w="38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50</w:t>
            </w:r>
          </w:p>
        </w:tc>
        <w:tc>
          <w:tcPr>
            <w:tcW w:w="498"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148</w:t>
            </w:r>
          </w:p>
        </w:tc>
        <w:tc>
          <w:tcPr>
            <w:tcW w:w="415"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kern w:val="2"/>
                <w:sz w:val="18"/>
                <w:szCs w:val="18"/>
                <w:lang w:val="en-US" w:eastAsia="zh-CN" w:bidi="ar-SA"/>
              </w:rPr>
              <w:t>102</w:t>
            </w:r>
          </w:p>
        </w:tc>
        <w:tc>
          <w:tcPr>
            <w:tcW w:w="537"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1.0~10mg/L</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＞10mg/L</w:t>
            </w:r>
          </w:p>
        </w:tc>
        <w:tc>
          <w:tcPr>
            <w:tcW w:w="381" w:type="pct"/>
            <w:vAlign w:val="center"/>
          </w:tcPr>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90~110</w:t>
            </w:r>
          </w:p>
          <w:p>
            <w:pPr>
              <w:keepNext w:val="0"/>
              <w:widowControl w:val="0"/>
              <w:overflowPunct w:val="0"/>
              <w:adjustRightInd w:val="0"/>
              <w:snapToGrid w:val="0"/>
              <w:spacing w:line="240" w:lineRule="auto"/>
              <w:jc w:val="center"/>
              <w:textAlignment w:val="baseline"/>
              <w:rPr>
                <w:rFonts w:hint="eastAsia" w:ascii="Times New Roman" w:hAnsi="Times New Roman" w:eastAsiaTheme="minorEastAsia" w:cstheme="minorBidi"/>
                <w:color w:val="auto"/>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p>
            <w:pPr>
              <w:keepNext w:val="0"/>
              <w:widowControl w:val="0"/>
              <w:overflowPunct w:val="0"/>
              <w:adjustRightInd w:val="0"/>
              <w:snapToGrid w:val="0"/>
              <w:spacing w:line="240" w:lineRule="auto"/>
              <w:jc w:val="center"/>
              <w:textAlignment w:val="baseline"/>
              <w:rPr>
                <w:rFonts w:hint="default" w:ascii="Times New Roman" w:hAnsi="Times New Roman" w:eastAsiaTheme="minorEastAsia" w:cstheme="minorBidi"/>
                <w:color w:val="auto"/>
                <w:kern w:val="2"/>
                <w:sz w:val="18"/>
                <w:szCs w:val="18"/>
                <w:lang w:val="en-US" w:eastAsia="zh-CN" w:bidi="ar-SA"/>
              </w:rPr>
            </w:pPr>
            <w:r>
              <w:rPr>
                <w:rFonts w:hint="eastAsia" w:ascii="Times New Roman" w:hAnsi="Times New Roman" w:eastAsiaTheme="minorEastAsia" w:cstheme="minorBidi"/>
                <w:color w:val="auto"/>
                <w:sz w:val="18"/>
                <w:szCs w:val="18"/>
                <w:lang w:val="en-US" w:eastAsia="zh-CN" w:bidi="ar-SA"/>
              </w:rPr>
              <w:t>95~105</w:t>
            </w:r>
          </w:p>
        </w:tc>
        <w:tc>
          <w:tcPr>
            <w:tcW w:w="461" w:type="pct"/>
            <w:vAlign w:val="center"/>
          </w:tcPr>
          <w:p>
            <w:pPr>
              <w:keepNext w:val="0"/>
              <w:keepLines w:val="0"/>
              <w:pageBreakBefore w:val="0"/>
              <w:kinsoku/>
              <w:wordWrap/>
              <w:overflowPunct/>
              <w:topLinePunct w:val="0"/>
              <w:autoSpaceDE/>
              <w:autoSpaceDN/>
              <w:bidi w:val="0"/>
              <w:adjustRightInd/>
              <w:spacing w:line="240" w:lineRule="exact"/>
              <w:jc w:val="center"/>
              <w:rPr>
                <w:rFonts w:hint="default" w:ascii="Times New Roman" w:hAnsi="Times New Roman" w:cs="Times New Roman" w:eastAsiaTheme="minorEastAsia"/>
                <w:color w:val="auto"/>
                <w:kern w:val="2"/>
                <w:sz w:val="18"/>
                <w:szCs w:val="18"/>
                <w:lang w:val="en-US" w:eastAsia="zh-CN" w:bidi="ar-SA"/>
              </w:rPr>
            </w:pPr>
            <w:r>
              <w:rPr>
                <w:rFonts w:hint="eastAsia" w:ascii="Times New Roman" w:hAnsi="Times New Roman" w:cs="Times New Roman"/>
                <w:color w:val="auto"/>
                <w:sz w:val="18"/>
                <w:szCs w:val="18"/>
                <w:lang w:eastAsia="zh-CN"/>
              </w:rPr>
              <w:t>合格</w:t>
            </w:r>
          </w:p>
        </w:tc>
      </w:tr>
    </w:tbl>
    <w:p>
      <w:pPr>
        <w:pStyle w:val="2"/>
        <w:spacing w:line="360" w:lineRule="auto"/>
        <w:ind w:left="0" w:leftChars="0"/>
        <w:jc w:val="center"/>
        <w:rPr>
          <w:rFonts w:hint="default" w:ascii="Times New Roman" w:hAnsi="Times New Roman" w:cs="Times New Roman"/>
          <w:b/>
          <w:bCs/>
          <w:sz w:val="24"/>
          <w:szCs w:val="24"/>
        </w:rPr>
      </w:pPr>
    </w:p>
    <w:p>
      <w:pPr>
        <w:pStyle w:val="2"/>
        <w:spacing w:line="360" w:lineRule="auto"/>
        <w:ind w:left="0" w:leftChars="0"/>
        <w:rPr>
          <w:rFonts w:hint="default" w:ascii="Times New Roman" w:hAnsi="Times New Roman" w:eastAsia="黑体" w:cs="Times New Roman"/>
          <w:b/>
          <w:kern w:val="0"/>
          <w:sz w:val="28"/>
          <w:szCs w:val="26"/>
        </w:rPr>
      </w:pPr>
      <w:r>
        <w:rPr>
          <w:rFonts w:hint="default" w:ascii="Times New Roman" w:hAnsi="Times New Roman" w:eastAsia="黑体" w:cs="Times New Roman"/>
          <w:b/>
          <w:kern w:val="0"/>
          <w:sz w:val="28"/>
          <w:szCs w:val="26"/>
        </w:rPr>
        <w:t>4.4质控结论</w:t>
      </w:r>
    </w:p>
    <w:p>
      <w:pPr>
        <w:pStyle w:val="4"/>
        <w:keepNext w:val="0"/>
        <w:keepLines w:val="0"/>
        <w:spacing w:beforeLines="50" w:afterLines="50" w:line="360" w:lineRule="auto"/>
        <w:ind w:firstLine="480" w:firstLineChars="200"/>
        <w:contextualSpacing/>
        <w:jc w:val="left"/>
        <w:rPr>
          <w:rFonts w:hint="default" w:ascii="Times New Roman" w:hAnsi="Times New Roman" w:eastAsia="宋体" w:cs="Times New Roman"/>
          <w:b w:val="0"/>
          <w:color w:val="auto"/>
          <w:kern w:val="2"/>
          <w:sz w:val="24"/>
          <w:szCs w:val="24"/>
          <w:lang w:val="en-US" w:eastAsia="zh-CN" w:bidi="ar-SA"/>
        </w:rPr>
      </w:pPr>
      <w:bookmarkStart w:id="451" w:name="_Toc24276"/>
      <w:bookmarkStart w:id="452" w:name="_Toc21372"/>
      <w:bookmarkStart w:id="453" w:name="_Toc15386"/>
      <w:bookmarkStart w:id="454" w:name="_Toc10647"/>
      <w:bookmarkStart w:id="455" w:name="_Toc48673378"/>
      <w:bookmarkStart w:id="456" w:name="_Toc11336"/>
      <w:bookmarkStart w:id="457" w:name="_Toc22906"/>
      <w:bookmarkStart w:id="458" w:name="_Toc32651"/>
      <w:bookmarkStart w:id="459" w:name="_Toc12353"/>
      <w:bookmarkStart w:id="460" w:name="_Toc27577078"/>
      <w:bookmarkStart w:id="461" w:name="_Toc14661"/>
      <w:bookmarkStart w:id="462" w:name="_Toc27078373"/>
      <w:r>
        <w:rPr>
          <w:rFonts w:hint="default" w:ascii="Times New Roman" w:hAnsi="Times New Roman" w:eastAsia="宋体" w:cs="Times New Roman"/>
          <w:b w:val="0"/>
          <w:color w:val="auto"/>
          <w:kern w:val="2"/>
          <w:sz w:val="24"/>
          <w:szCs w:val="24"/>
          <w:lang w:val="en-US" w:eastAsia="zh-CN" w:bidi="ar-SA"/>
        </w:rPr>
        <w:t>“河南经济贸易技师学院扩建工程”项目共采集21个点位的土壤样品及3个点位的地下水样品。其中现场采样土壤按5%的比例随机采取土壤平行样共2个，地下水按10%的比例随机采取地下水平行样共1个。实验室检测土壤按5%的比例做准确度控制，地下水按10%的比例做准确度控制。根据空白样、平行样和准确度样检测结果，均符合要求。</w:t>
      </w:r>
      <w:bookmarkEnd w:id="451"/>
    </w:p>
    <w:p>
      <w:pPr>
        <w:pStyle w:val="4"/>
        <w:keepNext w:val="0"/>
        <w:keepLines w:val="0"/>
        <w:spacing w:beforeLines="50" w:afterLines="50" w:line="360" w:lineRule="auto"/>
        <w:ind w:firstLine="0" w:firstLineChars="0"/>
        <w:contextualSpacing/>
        <w:jc w:val="center"/>
        <w:outlineLvl w:val="9"/>
        <w:rPr>
          <w:rStyle w:val="15"/>
          <w:rFonts w:hint="default" w:ascii="Times New Roman" w:hAnsi="Times New Roman" w:eastAsia="黑体" w:cs="Times New Roman"/>
          <w:b/>
          <w:bCs/>
        </w:rPr>
      </w:pPr>
    </w:p>
    <w:p>
      <w:pPr>
        <w:pStyle w:val="4"/>
        <w:keepNext w:val="0"/>
        <w:keepLines w:val="0"/>
        <w:spacing w:beforeLines="50" w:afterLines="50" w:line="360" w:lineRule="auto"/>
        <w:ind w:firstLine="0" w:firstLineChars="0"/>
        <w:contextualSpacing/>
        <w:jc w:val="center"/>
        <w:outlineLvl w:val="9"/>
        <w:rPr>
          <w:rStyle w:val="15"/>
          <w:rFonts w:hint="default" w:ascii="Times New Roman" w:hAnsi="Times New Roman" w:eastAsia="黑体" w:cs="Times New Roman"/>
          <w:b/>
          <w:bCs/>
        </w:rPr>
      </w:pPr>
    </w:p>
    <w:p>
      <w:pPr>
        <w:pStyle w:val="4"/>
        <w:keepNext w:val="0"/>
        <w:keepLines w:val="0"/>
        <w:spacing w:beforeLines="50" w:afterLines="50" w:line="360" w:lineRule="auto"/>
        <w:ind w:firstLine="0" w:firstLineChars="0"/>
        <w:contextualSpacing/>
        <w:jc w:val="center"/>
        <w:rPr>
          <w:rStyle w:val="15"/>
          <w:rFonts w:hint="default" w:ascii="Times New Roman" w:hAnsi="Times New Roman" w:eastAsia="黑体" w:cs="Times New Roman"/>
          <w:b/>
          <w:bCs/>
        </w:rPr>
      </w:pPr>
      <w:bookmarkStart w:id="463" w:name="_Toc30305"/>
      <w:r>
        <w:rPr>
          <w:rStyle w:val="15"/>
          <w:rFonts w:hint="default" w:ascii="Times New Roman" w:hAnsi="Times New Roman" w:eastAsia="黑体" w:cs="Times New Roman"/>
          <w:b/>
          <w:bCs/>
        </w:rPr>
        <w:t>5测试结果分析</w:t>
      </w:r>
      <w:bookmarkEnd w:id="452"/>
      <w:bookmarkEnd w:id="453"/>
      <w:bookmarkEnd w:id="454"/>
      <w:bookmarkEnd w:id="455"/>
      <w:bookmarkEnd w:id="456"/>
      <w:bookmarkEnd w:id="457"/>
      <w:bookmarkEnd w:id="458"/>
      <w:bookmarkEnd w:id="459"/>
      <w:bookmarkEnd w:id="460"/>
      <w:bookmarkEnd w:id="461"/>
      <w:bookmarkEnd w:id="462"/>
      <w:bookmarkEnd w:id="463"/>
    </w:p>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464" w:name="_Toc14362186"/>
      <w:bookmarkStart w:id="465" w:name="_Toc26524"/>
      <w:bookmarkStart w:id="466" w:name="_Toc27577079"/>
      <w:bookmarkStart w:id="467" w:name="_Toc24257"/>
      <w:bookmarkStart w:id="468" w:name="_Toc10240"/>
      <w:bookmarkStart w:id="469" w:name="_Toc27078374"/>
      <w:bookmarkStart w:id="470" w:name="_Toc30110"/>
      <w:bookmarkStart w:id="471" w:name="_Toc28270"/>
      <w:r>
        <w:rPr>
          <w:rFonts w:hint="default" w:ascii="Times New Roman" w:hAnsi="Times New Roman" w:cs="Times New Roman"/>
          <w:b/>
          <w:kern w:val="0"/>
          <w:sz w:val="28"/>
          <w:szCs w:val="26"/>
        </w:rPr>
        <w:t>5.1筛选值的确定</w:t>
      </w:r>
      <w:bookmarkEnd w:id="464"/>
      <w:bookmarkEnd w:id="465"/>
      <w:bookmarkEnd w:id="466"/>
      <w:bookmarkEnd w:id="467"/>
      <w:bookmarkEnd w:id="468"/>
      <w:bookmarkEnd w:id="469"/>
      <w:bookmarkEnd w:id="470"/>
      <w:bookmarkEnd w:id="471"/>
    </w:p>
    <w:p>
      <w:pPr>
        <w:widowControl/>
        <w:spacing w:line="360" w:lineRule="auto"/>
        <w:ind w:firstLine="480" w:firstLineChars="200"/>
        <w:jc w:val="left"/>
        <w:rPr>
          <w:rFonts w:hint="default" w:ascii="Times New Roman" w:hAnsi="Times New Roman" w:cs="Times New Roman"/>
          <w:sz w:val="24"/>
          <w:szCs w:val="24"/>
        </w:rPr>
      </w:pPr>
      <w:r>
        <w:rPr>
          <w:rFonts w:hint="eastAsia" w:ascii="Times New Roman" w:hAnsi="Times New Roman" w:cs="Times New Roman"/>
          <w:color w:val="000000" w:themeColor="text1"/>
          <w:sz w:val="24"/>
          <w:lang w:val="en-US" w:eastAsia="zh-CN"/>
          <w14:textFill>
            <w14:solidFill>
              <w14:schemeClr w14:val="tx1"/>
            </w14:solidFill>
          </w14:textFill>
        </w:rPr>
        <w:t>根据</w:t>
      </w:r>
      <w:r>
        <w:rPr>
          <w:rFonts w:hint="default" w:ascii="Times New Roman" w:hAnsi="Times New Roman" w:cs="Times New Roman"/>
          <w:color w:val="000000" w:themeColor="text1"/>
          <w:sz w:val="24"/>
          <w:lang w:val="en-US" w:eastAsia="zh-CN"/>
          <w14:textFill>
            <w14:solidFill>
              <w14:schemeClr w14:val="tx1"/>
            </w14:solidFill>
          </w14:textFill>
        </w:rPr>
        <w:t>《新乡市</w:t>
      </w:r>
      <w:r>
        <w:rPr>
          <w:rFonts w:hint="eastAsia" w:ascii="Times New Roman" w:hAnsi="Times New Roman" w:cs="Times New Roman"/>
          <w:color w:val="000000" w:themeColor="text1"/>
          <w:sz w:val="24"/>
          <w:lang w:val="en-US" w:eastAsia="zh-CN"/>
          <w14:textFill>
            <w14:solidFill>
              <w14:schemeClr w14:val="tx1"/>
            </w14:solidFill>
          </w14:textFill>
        </w:rPr>
        <w:t>规划设计条件通知书（新规条件2015-53号）</w:t>
      </w:r>
      <w:r>
        <w:rPr>
          <w:rFonts w:hint="default" w:ascii="Times New Roman" w:hAnsi="Times New Roman" w:cs="Times New Roman"/>
          <w:color w:val="000000" w:themeColor="text1"/>
          <w:sz w:val="24"/>
          <w:lang w:val="en-US" w:eastAsia="zh-CN"/>
          <w14:textFill>
            <w14:solidFill>
              <w14:schemeClr w14:val="tx1"/>
            </w14:solidFill>
          </w14:textFill>
        </w:rPr>
        <w:t>》该地块作为教育科研用地使用。</w:t>
      </w:r>
      <w:r>
        <w:rPr>
          <w:rFonts w:hint="default" w:ascii="Times New Roman" w:hAnsi="Times New Roman" w:cs="Times New Roman"/>
          <w:color w:val="auto"/>
          <w:sz w:val="24"/>
          <w:szCs w:val="24"/>
        </w:rPr>
        <w:t>《土壤环境质量建设用地土壤环境污染风险管控标准》（GB36600-2018）</w:t>
      </w:r>
      <w:r>
        <w:rPr>
          <w:rFonts w:hint="default" w:ascii="Times New Roman" w:hAnsi="Times New Roman" w:cs="Times New Roman"/>
          <w:sz w:val="24"/>
          <w:szCs w:val="24"/>
        </w:rPr>
        <w:t>中将</w:t>
      </w:r>
      <w:r>
        <w:rPr>
          <w:rFonts w:hint="eastAsia" w:ascii="Times New Roman" w:hAnsi="Times New Roman" w:cs="Times New Roman"/>
          <w:sz w:val="24"/>
          <w:szCs w:val="24"/>
          <w:lang w:val="en-US" w:eastAsia="zh-CN"/>
        </w:rPr>
        <w:t>教育科研用地</w:t>
      </w:r>
      <w:r>
        <w:rPr>
          <w:rFonts w:hint="default" w:ascii="Times New Roman" w:hAnsi="Times New Roman" w:cs="Times New Roman"/>
          <w:sz w:val="24"/>
          <w:szCs w:val="24"/>
          <w:lang w:val="en-US" w:eastAsia="zh-CN"/>
        </w:rPr>
        <w:t>用地</w:t>
      </w:r>
      <w:r>
        <w:rPr>
          <w:rFonts w:hint="default" w:ascii="Times New Roman" w:hAnsi="Times New Roman" w:cs="Times New Roman"/>
          <w:sz w:val="24"/>
          <w:szCs w:val="24"/>
        </w:rPr>
        <w:t>划为第</w:t>
      </w:r>
      <w:r>
        <w:rPr>
          <w:rFonts w:hint="default" w:ascii="Times New Roman" w:hAnsi="Times New Roman" w:cs="Times New Roman"/>
          <w:sz w:val="24"/>
          <w:szCs w:val="24"/>
          <w:lang w:eastAsia="zh-CN"/>
        </w:rPr>
        <w:t>一</w:t>
      </w:r>
      <w:r>
        <w:rPr>
          <w:rFonts w:hint="default" w:ascii="Times New Roman" w:hAnsi="Times New Roman" w:cs="Times New Roman"/>
          <w:sz w:val="24"/>
          <w:szCs w:val="24"/>
        </w:rPr>
        <w:t>类用地，检测数据核对确认后按《土壤环境质量建设用地土壤环境污染风险管控标准》（GB36600-2018）中规定的建设用地第</w:t>
      </w:r>
      <w:r>
        <w:rPr>
          <w:rFonts w:hint="default" w:ascii="Times New Roman" w:hAnsi="Times New Roman" w:cs="Times New Roman"/>
          <w:sz w:val="24"/>
          <w:szCs w:val="24"/>
          <w:lang w:eastAsia="zh-CN"/>
        </w:rPr>
        <w:t>一</w:t>
      </w:r>
      <w:r>
        <w:rPr>
          <w:rFonts w:hint="default" w:ascii="Times New Roman" w:hAnsi="Times New Roman" w:cs="Times New Roman"/>
          <w:sz w:val="24"/>
          <w:szCs w:val="24"/>
        </w:rPr>
        <w:t>类用地土壤污染风险筛选值和管控值进行比对评估，以供管理部门参考，详见表1</w:t>
      </w:r>
      <w:r>
        <w:rPr>
          <w:rFonts w:hint="eastAsia" w:ascii="Times New Roman" w:hAnsi="Times New Roman" w:cs="Times New Roman"/>
          <w:sz w:val="24"/>
          <w:szCs w:val="24"/>
          <w:lang w:val="en-US" w:eastAsia="zh-CN"/>
        </w:rPr>
        <w:t>5</w:t>
      </w:r>
      <w:r>
        <w:rPr>
          <w:rFonts w:hint="default" w:ascii="Times New Roman" w:hAnsi="Times New Roman" w:cs="Times New Roman"/>
          <w:sz w:val="24"/>
          <w:szCs w:val="24"/>
        </w:rPr>
        <w:t>；地下水样按照《地下水质量标准》（GB/T 14848-2017）规定的三类水质标准进行评估，详见表1</w:t>
      </w:r>
      <w:r>
        <w:rPr>
          <w:rFonts w:hint="eastAsia" w:ascii="Times New Roman" w:hAnsi="Times New Roman" w:cs="Times New Roman"/>
          <w:sz w:val="24"/>
          <w:szCs w:val="24"/>
          <w:lang w:val="en-US" w:eastAsia="zh-CN"/>
        </w:rPr>
        <w:t>6</w:t>
      </w:r>
      <w:r>
        <w:rPr>
          <w:rFonts w:hint="default" w:ascii="Times New Roman" w:hAnsi="Times New Roman" w:cs="Times New Roman"/>
          <w:sz w:val="24"/>
          <w:szCs w:val="24"/>
        </w:rPr>
        <w:t>。</w:t>
      </w: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表1</w:t>
      </w:r>
      <w:r>
        <w:rPr>
          <w:rFonts w:hint="eastAsia" w:ascii="Times New Roman" w:hAnsi="Times New Roman" w:cs="Times New Roman"/>
          <w:b/>
          <w:bCs/>
          <w:sz w:val="24"/>
          <w:szCs w:val="24"/>
          <w:lang w:val="en-US" w:eastAsia="zh-CN"/>
        </w:rPr>
        <w:t>5</w:t>
      </w:r>
      <w:r>
        <w:rPr>
          <w:rFonts w:hint="default" w:ascii="Times New Roman" w:hAnsi="Times New Roman" w:cs="Times New Roman"/>
          <w:b/>
          <w:bCs/>
          <w:sz w:val="24"/>
          <w:szCs w:val="24"/>
        </w:rPr>
        <w:t xml:space="preserve"> 建设用地土壤污染风险筛选值和管制值（基本项目）单位：mg/kg</w:t>
      </w:r>
    </w:p>
    <w:tbl>
      <w:tblPr>
        <w:tblStyle w:val="9"/>
        <w:tblW w:w="833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9"/>
        <w:gridCol w:w="1850"/>
        <w:gridCol w:w="1559"/>
        <w:gridCol w:w="992"/>
        <w:gridCol w:w="992"/>
        <w:gridCol w:w="1134"/>
        <w:gridCol w:w="9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blHeader/>
        </w:trPr>
        <w:tc>
          <w:tcPr>
            <w:tcW w:w="849" w:type="dxa"/>
            <w:vMerge w:val="restart"/>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1850" w:type="dxa"/>
            <w:vMerge w:val="restart"/>
            <w:noWrap/>
            <w:vAlign w:val="center"/>
          </w:tcPr>
          <w:p>
            <w:pPr>
              <w:jc w:val="center"/>
              <w:rPr>
                <w:rFonts w:hint="default" w:ascii="Times New Roman" w:hAnsi="Times New Roman" w:cs="Times New Roman"/>
              </w:rPr>
            </w:pPr>
            <w:r>
              <w:rPr>
                <w:rFonts w:hint="default" w:ascii="Times New Roman" w:hAnsi="Times New Roman" w:cs="Times New Roman"/>
              </w:rPr>
              <w:t>污染物项目</w:t>
            </w:r>
          </w:p>
        </w:tc>
        <w:tc>
          <w:tcPr>
            <w:tcW w:w="1559" w:type="dxa"/>
            <w:vMerge w:val="restart"/>
            <w:noWrap/>
            <w:vAlign w:val="center"/>
          </w:tcPr>
          <w:p>
            <w:pPr>
              <w:jc w:val="center"/>
              <w:rPr>
                <w:rFonts w:hint="default" w:ascii="Times New Roman" w:hAnsi="Times New Roman" w:cs="Times New Roman"/>
              </w:rPr>
            </w:pPr>
            <w:r>
              <w:rPr>
                <w:rFonts w:hint="default" w:ascii="Times New Roman" w:hAnsi="Times New Roman" w:cs="Times New Roman"/>
              </w:rPr>
              <w:t>CAS编号</w:t>
            </w:r>
          </w:p>
        </w:tc>
        <w:tc>
          <w:tcPr>
            <w:tcW w:w="1984" w:type="dxa"/>
            <w:gridSpan w:val="2"/>
            <w:noWrap/>
            <w:vAlign w:val="center"/>
          </w:tcPr>
          <w:p>
            <w:pPr>
              <w:jc w:val="center"/>
              <w:rPr>
                <w:rFonts w:hint="default" w:ascii="Times New Roman" w:hAnsi="Times New Roman" w:cs="Times New Roman"/>
              </w:rPr>
            </w:pPr>
            <w:r>
              <w:rPr>
                <w:rFonts w:hint="default" w:ascii="Times New Roman" w:hAnsi="Times New Roman" w:cs="Times New Roman"/>
              </w:rPr>
              <w:t>筛选值</w:t>
            </w:r>
          </w:p>
        </w:tc>
        <w:tc>
          <w:tcPr>
            <w:tcW w:w="2090" w:type="dxa"/>
            <w:gridSpan w:val="2"/>
            <w:noWrap/>
            <w:vAlign w:val="center"/>
          </w:tcPr>
          <w:p>
            <w:pPr>
              <w:jc w:val="center"/>
              <w:rPr>
                <w:rFonts w:hint="default" w:ascii="Times New Roman" w:hAnsi="Times New Roman" w:cs="Times New Roman"/>
              </w:rPr>
            </w:pPr>
            <w:r>
              <w:rPr>
                <w:rFonts w:hint="default" w:ascii="Times New Roman" w:hAnsi="Times New Roman" w:cs="Times New Roman"/>
              </w:rPr>
              <w:t>管制值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blHeader/>
        </w:trPr>
        <w:tc>
          <w:tcPr>
            <w:tcW w:w="849" w:type="dxa"/>
            <w:vMerge w:val="continue"/>
            <w:tcBorders>
              <w:top w:val="nil"/>
            </w:tcBorders>
            <w:noWrap/>
            <w:vAlign w:val="center"/>
          </w:tcPr>
          <w:p>
            <w:pPr>
              <w:jc w:val="center"/>
              <w:rPr>
                <w:rFonts w:hint="default" w:ascii="Times New Roman" w:hAnsi="Times New Roman" w:cs="Times New Roman"/>
                <w:lang w:eastAsia="en-US"/>
              </w:rPr>
            </w:pPr>
          </w:p>
        </w:tc>
        <w:tc>
          <w:tcPr>
            <w:tcW w:w="1850" w:type="dxa"/>
            <w:vMerge w:val="continue"/>
            <w:tcBorders>
              <w:top w:val="nil"/>
            </w:tcBorders>
            <w:noWrap/>
            <w:vAlign w:val="center"/>
          </w:tcPr>
          <w:p>
            <w:pPr>
              <w:jc w:val="center"/>
              <w:rPr>
                <w:rFonts w:hint="default" w:ascii="Times New Roman" w:hAnsi="Times New Roman" w:cs="Times New Roman"/>
                <w:lang w:eastAsia="en-US"/>
              </w:rPr>
            </w:pPr>
          </w:p>
        </w:tc>
        <w:tc>
          <w:tcPr>
            <w:tcW w:w="1559" w:type="dxa"/>
            <w:vMerge w:val="continue"/>
            <w:tcBorders>
              <w:top w:val="nil"/>
            </w:tcBorders>
            <w:noWrap/>
            <w:vAlign w:val="center"/>
          </w:tcPr>
          <w:p>
            <w:pPr>
              <w:jc w:val="center"/>
              <w:rPr>
                <w:rFonts w:hint="default" w:ascii="Times New Roman" w:hAnsi="Times New Roman" w:cs="Times New Roman"/>
                <w:lang w:eastAsia="en-US"/>
              </w:rPr>
            </w:pP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第一类</w:t>
            </w:r>
          </w:p>
          <w:p>
            <w:pPr>
              <w:jc w:val="center"/>
              <w:rPr>
                <w:rFonts w:hint="default" w:ascii="Times New Roman" w:hAnsi="Times New Roman" w:cs="Times New Roman"/>
              </w:rPr>
            </w:pPr>
            <w:r>
              <w:rPr>
                <w:rFonts w:hint="default" w:ascii="Times New Roman" w:hAnsi="Times New Roman" w:cs="Times New Roman"/>
              </w:rPr>
              <w:t>用地</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第二类</w:t>
            </w:r>
          </w:p>
          <w:p>
            <w:pPr>
              <w:jc w:val="center"/>
              <w:rPr>
                <w:rFonts w:hint="default" w:ascii="Times New Roman" w:hAnsi="Times New Roman" w:cs="Times New Roman"/>
              </w:rPr>
            </w:pPr>
            <w:r>
              <w:rPr>
                <w:rFonts w:hint="default" w:ascii="Times New Roman" w:hAnsi="Times New Roman" w:cs="Times New Roman"/>
              </w:rPr>
              <w:t>用地</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第一类</w:t>
            </w:r>
          </w:p>
          <w:p>
            <w:pPr>
              <w:jc w:val="center"/>
              <w:rPr>
                <w:rFonts w:hint="default" w:ascii="Times New Roman" w:hAnsi="Times New Roman" w:cs="Times New Roman"/>
              </w:rPr>
            </w:pPr>
            <w:r>
              <w:rPr>
                <w:rFonts w:hint="default" w:ascii="Times New Roman" w:hAnsi="Times New Roman" w:cs="Times New Roman"/>
              </w:rPr>
              <w:t>用地</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第二类</w:t>
            </w:r>
          </w:p>
          <w:p>
            <w:pPr>
              <w:jc w:val="center"/>
              <w:rPr>
                <w:rFonts w:hint="default" w:ascii="Times New Roman" w:hAnsi="Times New Roman" w:cs="Times New Roman"/>
              </w:rPr>
            </w:pPr>
            <w:r>
              <w:rPr>
                <w:rFonts w:hint="default" w:ascii="Times New Roman" w:hAnsi="Times New Roman" w:cs="Times New Roman"/>
              </w:rPr>
              <w:t>用地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332" w:type="dxa"/>
            <w:gridSpan w:val="7"/>
            <w:noWrap/>
            <w:vAlign w:val="center"/>
          </w:tcPr>
          <w:p>
            <w:pPr>
              <w:jc w:val="center"/>
              <w:rPr>
                <w:rFonts w:hint="default" w:ascii="Times New Roman" w:hAnsi="Times New Roman" w:cs="Times New Roman"/>
              </w:rPr>
            </w:pPr>
            <w:r>
              <w:rPr>
                <w:rFonts w:hint="default" w:ascii="Times New Roman" w:hAnsi="Times New Roman" w:cs="Times New Roman"/>
              </w:rPr>
              <w:t>重金属和无机物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7440-38-2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20①</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60①</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120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镉</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7440-43-9</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47</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铬（六价）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18540-29-9</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5.7</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铜</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7440-50-8</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2000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18000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8000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36000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铅</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7439-92-1</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400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800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800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6</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汞</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7439-97-6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8</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38</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33</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镍</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7440-02-0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900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600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332" w:type="dxa"/>
            <w:gridSpan w:val="7"/>
            <w:noWrap/>
            <w:vAlign w:val="center"/>
          </w:tcPr>
          <w:p>
            <w:pPr>
              <w:jc w:val="center"/>
              <w:rPr>
                <w:rFonts w:hint="default" w:ascii="Times New Roman" w:hAnsi="Times New Roman" w:cs="Times New Roman"/>
              </w:rPr>
            </w:pPr>
            <w:r>
              <w:rPr>
                <w:rFonts w:hint="default" w:ascii="Times New Roman" w:hAnsi="Times New Roman" w:cs="Times New Roman"/>
              </w:rPr>
              <w:t>挥发性有机物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8</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四氯化碳</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56-23-5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0.9</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9</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9</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氯仿</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67-66-3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0.9</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氯甲烷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74-87-3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37</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21</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11</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1,1-二氯乙烷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75-34-3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9</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1,2-二氯乙烷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107-06-2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0.52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6</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13</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1,1-二氯乙烯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75-35-4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66</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40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顺-1,2-二氯乙烯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156-59-2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596</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反-1,2-二氯乙烯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156-60-5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54</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31</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16</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二氯甲烷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75-09-2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94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616</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300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17</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1,2-二氯丙烷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78-87-5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18</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1,1,1,2-四氯乙烷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630-20-6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26</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19</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1,1,2,2-四氯乙烷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79-34-5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6.8</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四氯乙烯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127-18-4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11</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53</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34</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21</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1,1,1-三氯乙烷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71-55-6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701</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840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840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840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22</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1,1,2-三氯乙烷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79-00-5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23</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三氯乙烯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79-01-6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0.7</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24</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1,2,3-三氯丙烷</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96-18-4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0.5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25</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75-01-4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0.12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0.43</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26</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71-43-2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4</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27</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氯苯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108-90-7</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68</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270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1,2-二氯苯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95-50-1</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560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560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560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29</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1,4-二氯苯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106-46-7</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56</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乙苯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100-41-4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7.2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72</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280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31</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苯乙烯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100-42-5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1290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1290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1290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1290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32</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甲苯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108-88-3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1200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1200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1200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33</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间二甲苯+对二甲苯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108-38-3,</w:t>
            </w:r>
          </w:p>
          <w:p>
            <w:pPr>
              <w:jc w:val="center"/>
              <w:rPr>
                <w:rFonts w:hint="default" w:ascii="Times New Roman" w:hAnsi="Times New Roman" w:cs="Times New Roman"/>
              </w:rPr>
            </w:pPr>
            <w:r>
              <w:rPr>
                <w:rFonts w:hint="default" w:ascii="Times New Roman" w:hAnsi="Times New Roman" w:cs="Times New Roman"/>
              </w:rPr>
              <w:t>106-42-3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163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570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570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34</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邻二甲苯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95-47-6</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222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640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640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640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332" w:type="dxa"/>
            <w:gridSpan w:val="7"/>
            <w:noWrap/>
            <w:vAlign w:val="center"/>
          </w:tcPr>
          <w:p>
            <w:pPr>
              <w:jc w:val="center"/>
              <w:rPr>
                <w:rFonts w:hint="default" w:ascii="Times New Roman" w:hAnsi="Times New Roman" w:cs="Times New Roman"/>
              </w:rPr>
            </w:pPr>
            <w:r>
              <w:rPr>
                <w:rFonts w:hint="default" w:ascii="Times New Roman" w:hAnsi="Times New Roman" w:cs="Times New Roman"/>
              </w:rPr>
              <w:t>半挥发性有机物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35</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硝基苯</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98-95-3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34</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76</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190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760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36</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苯胺</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62-53-3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92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260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211</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663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37</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2-氯酚</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95-57-8</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250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2256</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4500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38</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苯并[a]蒽</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56-55-3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39</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苯并[a]芘</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50-32-8</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0.55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40</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苯并[b]荧蒽</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205-99-2</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41</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苯并[k]荧蒽</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207-08-9</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151</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550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42</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䓛</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218-01-9</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490</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1293</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4900</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12900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43</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二苯并[a,h]蒽</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53-70-3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0.55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44</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茚并[1,2,3-cd]芘</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193-39-5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55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49" w:type="dxa"/>
            <w:noWrap/>
            <w:vAlign w:val="center"/>
          </w:tcPr>
          <w:p>
            <w:pPr>
              <w:jc w:val="center"/>
              <w:rPr>
                <w:rFonts w:hint="default" w:ascii="Times New Roman" w:hAnsi="Times New Roman" w:cs="Times New Roman"/>
              </w:rPr>
            </w:pPr>
            <w:r>
              <w:rPr>
                <w:rFonts w:hint="default" w:ascii="Times New Roman" w:hAnsi="Times New Roman" w:cs="Times New Roman"/>
              </w:rPr>
              <w:t>45</w:t>
            </w:r>
          </w:p>
        </w:tc>
        <w:tc>
          <w:tcPr>
            <w:tcW w:w="1850" w:type="dxa"/>
            <w:noWrap/>
            <w:vAlign w:val="center"/>
          </w:tcPr>
          <w:p>
            <w:pPr>
              <w:jc w:val="center"/>
              <w:rPr>
                <w:rFonts w:hint="default" w:ascii="Times New Roman" w:hAnsi="Times New Roman" w:cs="Times New Roman"/>
              </w:rPr>
            </w:pPr>
            <w:r>
              <w:rPr>
                <w:rFonts w:hint="default" w:ascii="Times New Roman" w:hAnsi="Times New Roman" w:cs="Times New Roman"/>
              </w:rPr>
              <w:t>萘</w:t>
            </w:r>
          </w:p>
        </w:tc>
        <w:tc>
          <w:tcPr>
            <w:tcW w:w="1559" w:type="dxa"/>
            <w:noWrap/>
            <w:vAlign w:val="center"/>
          </w:tcPr>
          <w:p>
            <w:pPr>
              <w:jc w:val="center"/>
              <w:rPr>
                <w:rFonts w:hint="default" w:ascii="Times New Roman" w:hAnsi="Times New Roman" w:cs="Times New Roman"/>
              </w:rPr>
            </w:pPr>
            <w:r>
              <w:rPr>
                <w:rFonts w:hint="default" w:ascii="Times New Roman" w:hAnsi="Times New Roman" w:cs="Times New Roman"/>
              </w:rPr>
              <w:t>91-20-3</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25</w:t>
            </w:r>
          </w:p>
        </w:tc>
        <w:tc>
          <w:tcPr>
            <w:tcW w:w="992" w:type="dxa"/>
            <w:noWrap/>
            <w:vAlign w:val="center"/>
          </w:tcPr>
          <w:p>
            <w:pPr>
              <w:jc w:val="center"/>
              <w:rPr>
                <w:rFonts w:hint="default" w:ascii="Times New Roman" w:hAnsi="Times New Roman" w:cs="Times New Roman"/>
              </w:rPr>
            </w:pPr>
            <w:r>
              <w:rPr>
                <w:rFonts w:hint="default" w:ascii="Times New Roman" w:hAnsi="Times New Roman" w:cs="Times New Roman"/>
              </w:rPr>
              <w:t>70</w:t>
            </w:r>
          </w:p>
        </w:tc>
        <w:tc>
          <w:tcPr>
            <w:tcW w:w="1134" w:type="dxa"/>
            <w:noWrap/>
            <w:vAlign w:val="center"/>
          </w:tcPr>
          <w:p>
            <w:pPr>
              <w:jc w:val="center"/>
              <w:rPr>
                <w:rFonts w:hint="default" w:ascii="Times New Roman" w:hAnsi="Times New Roman" w:cs="Times New Roman"/>
              </w:rPr>
            </w:pPr>
            <w:r>
              <w:rPr>
                <w:rFonts w:hint="default" w:ascii="Times New Roman" w:hAnsi="Times New Roman" w:cs="Times New Roman"/>
              </w:rPr>
              <w:t>255</w:t>
            </w:r>
          </w:p>
        </w:tc>
        <w:tc>
          <w:tcPr>
            <w:tcW w:w="956" w:type="dxa"/>
            <w:noWrap/>
            <w:vAlign w:val="center"/>
          </w:tcPr>
          <w:p>
            <w:pPr>
              <w:jc w:val="center"/>
              <w:rPr>
                <w:rFonts w:hint="default" w:ascii="Times New Roman" w:hAnsi="Times New Roman" w:cs="Times New Roman"/>
              </w:rPr>
            </w:pPr>
            <w:r>
              <w:rPr>
                <w:rFonts w:hint="default" w:ascii="Times New Roman" w:hAnsi="Times New Roman" w:cs="Times New Roman"/>
              </w:rPr>
              <w:t>700</w:t>
            </w:r>
          </w:p>
        </w:tc>
      </w:tr>
    </w:tbl>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表1</w:t>
      </w:r>
      <w:r>
        <w:rPr>
          <w:rFonts w:hint="eastAsia" w:ascii="Times New Roman" w:hAnsi="Times New Roman" w:cs="Times New Roman"/>
          <w:b/>
          <w:bCs/>
          <w:sz w:val="24"/>
          <w:szCs w:val="24"/>
          <w:lang w:val="en-US" w:eastAsia="zh-CN"/>
        </w:rPr>
        <w:t>6</w:t>
      </w:r>
      <w:r>
        <w:rPr>
          <w:rFonts w:hint="default" w:ascii="Times New Roman" w:hAnsi="Times New Roman" w:cs="Times New Roman"/>
          <w:b/>
          <w:bCs/>
          <w:sz w:val="24"/>
          <w:szCs w:val="24"/>
        </w:rPr>
        <w:t xml:space="preserve"> 地下水质量分类指标</w:t>
      </w:r>
    </w:p>
    <w:tbl>
      <w:tblPr>
        <w:tblStyle w:val="9"/>
        <w:tblW w:w="833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2814"/>
        <w:gridCol w:w="1418"/>
        <w:gridCol w:w="567"/>
        <w:gridCol w:w="1870"/>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监测项目</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指标限值</w:t>
            </w:r>
          </w:p>
          <w:p>
            <w:pPr>
              <w:jc w:val="center"/>
              <w:rPr>
                <w:rFonts w:hint="default" w:ascii="Times New Roman" w:hAnsi="Times New Roman" w:cs="Times New Roman"/>
              </w:rPr>
            </w:pPr>
            <w:r>
              <w:rPr>
                <w:rFonts w:hint="default" w:ascii="Times New Roman" w:hAnsi="Times New Roman" w:cs="Times New Roman"/>
              </w:rPr>
              <w:t>（Ⅲ类）</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监测项目</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指标限值</w:t>
            </w:r>
          </w:p>
          <w:p>
            <w:pPr>
              <w:jc w:val="center"/>
              <w:rPr>
                <w:rFonts w:hint="default" w:ascii="Times New Roman" w:hAnsi="Times New Roman" w:cs="Times New Roman"/>
              </w:rPr>
            </w:pPr>
            <w:r>
              <w:rPr>
                <w:rFonts w:hint="default" w:ascii="Times New Roman" w:hAnsi="Times New Roman" w:cs="Times New Roman"/>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pH</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6.5≤pH≤8.5</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21</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亚硝酸盐/(mg/L)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2</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色度</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22</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硝酸盐/(mg/L)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嗅和味</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无</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23</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氰化物/(mg/L)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4</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肉眼可见物</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无</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24</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氟化物/(mg/L)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浑浊度</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25</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碘化物/(mg/L)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6</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总硬度（以CaCO3计/(mg/L)）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≤450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26</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汞/(mg/L)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溶解性总固体/(mg/L)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≤1000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27</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砷/(mg/L)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8</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硫酸盐/(mg/L)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≤250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硒/(mg/L)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9</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氯化物/(mg/L)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≤250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29</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镉/(mg/L)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铁/(mg/L)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≤0.30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铬（六价）/(mg/L)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11</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锰/(mg/L)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≤0.10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31</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铅/(mg/L)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铜/(mg/L)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32</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三氯甲烷/(μg/L)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13</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锌/(mg/L)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33</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四氯化碳/(μg/L)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铝/(mg/L)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≤0.20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34</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苯/(μg/L)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挥发性酚类/(mg/L)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≤0.002</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35</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甲苯/(μg/L)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16</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阴离子表面活性剂/(mg/L)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36</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镍/(mg/L)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17</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耗氧量/(mg/L)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37</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银/(mg/L)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18</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氨氮/(mg/L)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≤0.50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38</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石油烃</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19</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硫化物/(mg/L)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≤0.02</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39</w:t>
            </w:r>
          </w:p>
        </w:tc>
        <w:tc>
          <w:tcPr>
            <w:tcW w:w="1870" w:type="dxa"/>
            <w:noWrap/>
            <w:vAlign w:val="center"/>
          </w:tcPr>
          <w:p>
            <w:pPr>
              <w:jc w:val="center"/>
              <w:rPr>
                <w:rFonts w:hint="default" w:ascii="Times New Roman" w:hAnsi="Times New Roman" w:cs="Times New Roman"/>
              </w:rPr>
            </w:pPr>
            <w:r>
              <w:rPr>
                <w:rFonts w:hint="default" w:ascii="Times New Roman" w:hAnsi="Times New Roman" w:cs="Times New Roman"/>
              </w:rPr>
              <w:t>总铬/(mg/L)</w:t>
            </w:r>
          </w:p>
        </w:tc>
        <w:tc>
          <w:tcPr>
            <w:tcW w:w="1075" w:type="dxa"/>
            <w:noWrap/>
            <w:vAlign w:val="center"/>
          </w:tcPr>
          <w:p>
            <w:pPr>
              <w:jc w:val="center"/>
              <w:rPr>
                <w:rFonts w:hint="default" w:ascii="Times New Roman" w:hAnsi="Times New Roman" w:cs="Times New Roman"/>
              </w:rPr>
            </w:pPr>
            <w:r>
              <w:rPr>
                <w:rFonts w:hint="default" w:ascii="Times New Roman" w:hAnsi="Times New Roman" w:cs="Times New Roman"/>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88"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2814" w:type="dxa"/>
            <w:noWrap/>
            <w:vAlign w:val="center"/>
          </w:tcPr>
          <w:p>
            <w:pPr>
              <w:jc w:val="center"/>
              <w:rPr>
                <w:rFonts w:hint="default" w:ascii="Times New Roman" w:hAnsi="Times New Roman" w:cs="Times New Roman"/>
              </w:rPr>
            </w:pPr>
            <w:r>
              <w:rPr>
                <w:rFonts w:hint="default" w:ascii="Times New Roman" w:hAnsi="Times New Roman" w:cs="Times New Roman"/>
              </w:rPr>
              <w:t>钠/(mg/L)</w:t>
            </w:r>
          </w:p>
        </w:tc>
        <w:tc>
          <w:tcPr>
            <w:tcW w:w="1418"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40</w:t>
            </w:r>
          </w:p>
        </w:tc>
        <w:tc>
          <w:tcPr>
            <w:tcW w:w="1870" w:type="dxa"/>
            <w:noWrap/>
            <w:vAlign w:val="center"/>
          </w:tcPr>
          <w:p>
            <w:pPr>
              <w:jc w:val="center"/>
              <w:rPr>
                <w:rFonts w:hint="default" w:ascii="Times New Roman" w:hAnsi="Times New Roman" w:cs="Times New Roman"/>
              </w:rPr>
            </w:pPr>
          </w:p>
        </w:tc>
        <w:tc>
          <w:tcPr>
            <w:tcW w:w="1075" w:type="dxa"/>
            <w:noWrap/>
            <w:vAlign w:val="center"/>
          </w:tcPr>
          <w:p>
            <w:pPr>
              <w:jc w:val="center"/>
              <w:rPr>
                <w:rFonts w:hint="default" w:ascii="Times New Roman" w:hAnsi="Times New Roman" w:cs="Times New Roman"/>
              </w:rPr>
            </w:pPr>
          </w:p>
        </w:tc>
      </w:tr>
    </w:tbl>
    <w:p>
      <w:pPr>
        <w:pStyle w:val="5"/>
        <w:keepNext w:val="0"/>
        <w:keepLines w:val="0"/>
        <w:widowControl/>
        <w:spacing w:line="360" w:lineRule="auto"/>
        <w:contextualSpacing/>
        <w:jc w:val="left"/>
        <w:outlineLvl w:val="0"/>
        <w:rPr>
          <w:rFonts w:hint="default" w:ascii="Times New Roman" w:hAnsi="Times New Roman" w:cs="Times New Roman"/>
          <w:b/>
          <w:kern w:val="0"/>
          <w:sz w:val="28"/>
          <w:szCs w:val="26"/>
        </w:rPr>
      </w:pPr>
      <w:bookmarkStart w:id="472" w:name="_Toc13373"/>
      <w:bookmarkStart w:id="473" w:name="_Toc27577080"/>
      <w:bookmarkStart w:id="474" w:name="_Toc27078375"/>
      <w:bookmarkStart w:id="475" w:name="_Toc23578"/>
      <w:bookmarkStart w:id="476" w:name="_Toc25673295"/>
      <w:bookmarkStart w:id="477" w:name="_Toc1836"/>
      <w:bookmarkStart w:id="478" w:name="_Toc18864"/>
      <w:bookmarkStart w:id="479" w:name="_Toc27083"/>
      <w:r>
        <w:rPr>
          <w:rFonts w:hint="default" w:ascii="Times New Roman" w:hAnsi="Times New Roman" w:cs="Times New Roman"/>
          <w:b/>
          <w:kern w:val="0"/>
          <w:sz w:val="28"/>
          <w:szCs w:val="26"/>
        </w:rPr>
        <w:t>5.2测试结果分析</w:t>
      </w:r>
      <w:bookmarkEnd w:id="472"/>
      <w:bookmarkEnd w:id="473"/>
      <w:bookmarkEnd w:id="474"/>
      <w:bookmarkEnd w:id="475"/>
      <w:bookmarkEnd w:id="476"/>
      <w:bookmarkEnd w:id="477"/>
      <w:bookmarkEnd w:id="478"/>
      <w:bookmarkEnd w:id="479"/>
    </w:p>
    <w:p>
      <w:pPr>
        <w:spacing w:beforeLines="50" w:afterLines="50"/>
        <w:ind w:firstLine="482"/>
        <w:outlineLvl w:val="1"/>
        <w:rPr>
          <w:rFonts w:hint="default" w:ascii="Times New Roman" w:hAnsi="Times New Roman" w:cs="Times New Roman"/>
          <w:b/>
          <w:color w:val="000000"/>
          <w:sz w:val="24"/>
          <w:szCs w:val="24"/>
        </w:rPr>
      </w:pPr>
      <w:bookmarkStart w:id="480" w:name="_Toc15153"/>
      <w:bookmarkStart w:id="481" w:name="_Toc31369"/>
      <w:bookmarkStart w:id="482" w:name="_Toc16865"/>
      <w:r>
        <w:rPr>
          <w:rFonts w:hint="default" w:ascii="Times New Roman" w:hAnsi="Times New Roman" w:cs="Times New Roman"/>
          <w:b/>
          <w:color w:val="000000"/>
          <w:sz w:val="24"/>
          <w:szCs w:val="24"/>
        </w:rPr>
        <w:t>5.2.1土壤样品检测结果分析</w:t>
      </w:r>
      <w:bookmarkEnd w:id="480"/>
      <w:bookmarkEnd w:id="481"/>
      <w:bookmarkEnd w:id="482"/>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根据土壤检测报告（见附件6样品检测报告），本次样品检出范围见表1</w:t>
      </w:r>
      <w:r>
        <w:rPr>
          <w:rFonts w:hint="eastAsia" w:ascii="Times New Roman" w:hAnsi="Times New Roman" w:cs="Times New Roman"/>
          <w:sz w:val="24"/>
          <w:szCs w:val="24"/>
          <w:lang w:val="en-US" w:eastAsia="zh-CN"/>
        </w:rPr>
        <w:t>7，检测指标对比项见表17-1</w:t>
      </w:r>
      <w:r>
        <w:rPr>
          <w:rFonts w:hint="default" w:ascii="Times New Roman" w:hAnsi="Times New Roman" w:cs="Times New Roman"/>
          <w:sz w:val="24"/>
          <w:szCs w:val="24"/>
        </w:rPr>
        <w:t>。</w:t>
      </w:r>
    </w:p>
    <w:p>
      <w:pPr>
        <w:widowControl/>
        <w:spacing w:line="360" w:lineRule="auto"/>
        <w:ind w:firstLine="482" w:firstLineChars="200"/>
        <w:jc w:val="center"/>
        <w:rPr>
          <w:rFonts w:hint="default" w:ascii="Times New Roman" w:hAnsi="Times New Roman" w:cs="Times New Roman"/>
          <w:sz w:val="24"/>
          <w:szCs w:val="24"/>
        </w:rPr>
      </w:pPr>
      <w:r>
        <w:rPr>
          <w:rFonts w:hint="default" w:ascii="Times New Roman" w:hAnsi="Times New Roman" w:cs="Times New Roman"/>
          <w:b/>
          <w:bCs/>
          <w:sz w:val="24"/>
          <w:szCs w:val="24"/>
        </w:rPr>
        <w:t>表1</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rPr>
        <w:t xml:space="preserve">  土壤样品检出范围</w:t>
      </w:r>
    </w:p>
    <w:tbl>
      <w:tblPr>
        <w:tblStyle w:val="9"/>
        <w:tblW w:w="84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4"/>
        <w:gridCol w:w="1800"/>
        <w:gridCol w:w="2067"/>
        <w:gridCol w:w="567"/>
        <w:gridCol w:w="1833"/>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检测项目</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检出范围（mg/kg）</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检测项目</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检出范围（mg/kg）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pH（无量纲）</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8</w:t>
            </w:r>
            <w:r>
              <w:rPr>
                <w:rFonts w:hint="default" w:ascii="Times New Roman" w:hAnsi="Times New Roman" w:cs="Times New Roman"/>
              </w:rPr>
              <w:t>~8.</w:t>
            </w:r>
            <w:r>
              <w:rPr>
                <w:rFonts w:hint="eastAsia" w:ascii="Times New Roman" w:hAnsi="Times New Roman" w:cs="Times New Roman"/>
                <w:lang w:val="en-US" w:eastAsia="zh-CN"/>
              </w:rPr>
              <w:t>91</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24</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三氯乙烯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2</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总砷</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5.00</w:t>
            </w:r>
            <w:r>
              <w:rPr>
                <w:rFonts w:hint="default" w:ascii="Times New Roman" w:hAnsi="Times New Roman" w:cs="Times New Roman"/>
              </w:rPr>
              <w:t>~</w:t>
            </w:r>
            <w:r>
              <w:rPr>
                <w:rFonts w:hint="eastAsia" w:ascii="Times New Roman" w:hAnsi="Times New Roman" w:cs="Times New Roman"/>
                <w:lang w:val="en-US" w:eastAsia="zh-CN"/>
              </w:rPr>
              <w:t>10.6</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25</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1,2,3-三氯丙烷</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镉</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0.184</w:t>
            </w:r>
            <w:r>
              <w:rPr>
                <w:rFonts w:hint="default" w:ascii="Times New Roman" w:hAnsi="Times New Roman" w:cs="Times New Roman"/>
              </w:rPr>
              <w:t>~</w:t>
            </w:r>
            <w:r>
              <w:rPr>
                <w:rFonts w:hint="eastAsia" w:ascii="Times New Roman" w:hAnsi="Times New Roman" w:cs="Times New Roman"/>
                <w:lang w:val="en-US" w:eastAsia="zh-CN"/>
              </w:rPr>
              <w:t>0.373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26</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氯乙烯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4</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铬（六价）</w:t>
            </w:r>
          </w:p>
        </w:tc>
        <w:tc>
          <w:tcPr>
            <w:tcW w:w="2067" w:type="dxa"/>
            <w:noWrap/>
            <w:vAlign w:val="center"/>
          </w:tcPr>
          <w:p>
            <w:pPr>
              <w:jc w:val="center"/>
              <w:rPr>
                <w:rFonts w:hint="eastAsia" w:ascii="Times New Roman" w:hAnsi="Times New Roman" w:eastAsia="宋体" w:cs="Times New Roman"/>
                <w:lang w:val="en-US" w:eastAsia="zh-CN"/>
              </w:rPr>
            </w:pPr>
            <w:r>
              <w:rPr>
                <w:rFonts w:hint="eastAsia" w:ascii="Times New Roman" w:hAnsi="Times New Roman" w:cs="Times New Roman"/>
                <w:lang w:val="en-US" w:eastAsia="zh-CN"/>
              </w:rPr>
              <w:t>0.8</w:t>
            </w:r>
            <w:r>
              <w:rPr>
                <w:rFonts w:hint="default" w:ascii="Times New Roman" w:hAnsi="Times New Roman" w:cs="Times New Roman"/>
              </w:rPr>
              <w:t>~2.</w:t>
            </w:r>
            <w:r>
              <w:rPr>
                <w:rFonts w:hint="eastAsia" w:ascii="Times New Roman" w:hAnsi="Times New Roman" w:cs="Times New Roman"/>
                <w:lang w:val="en-US" w:eastAsia="zh-CN"/>
              </w:rPr>
              <w:t>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27</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铜</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18</w:t>
            </w:r>
            <w:r>
              <w:rPr>
                <w:rFonts w:hint="default" w:ascii="Times New Roman" w:hAnsi="Times New Roman" w:cs="Times New Roman"/>
              </w:rPr>
              <w:t>~</w:t>
            </w:r>
            <w:r>
              <w:rPr>
                <w:rFonts w:hint="eastAsia" w:ascii="Times New Roman" w:hAnsi="Times New Roman" w:cs="Times New Roman"/>
                <w:lang w:val="en-US" w:eastAsia="zh-CN"/>
              </w:rPr>
              <w:t>24</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氯苯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6</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铅</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25</w:t>
            </w:r>
            <w:r>
              <w:rPr>
                <w:rFonts w:hint="default" w:ascii="Times New Roman" w:hAnsi="Times New Roman" w:cs="Times New Roman"/>
              </w:rPr>
              <w:t>~</w:t>
            </w:r>
            <w:r>
              <w:rPr>
                <w:rFonts w:hint="eastAsia" w:ascii="Times New Roman" w:hAnsi="Times New Roman" w:cs="Times New Roman"/>
                <w:lang w:val="en-US" w:eastAsia="zh-CN"/>
              </w:rPr>
              <w:t>54</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29</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1,2-二氯苯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总汞</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0.041</w:t>
            </w:r>
            <w:r>
              <w:rPr>
                <w:rFonts w:hint="default" w:ascii="Times New Roman" w:hAnsi="Times New Roman" w:cs="Times New Roman"/>
              </w:rPr>
              <w:t>~0.5</w:t>
            </w:r>
            <w:r>
              <w:rPr>
                <w:rFonts w:hint="eastAsia" w:ascii="Times New Roman" w:hAnsi="Times New Roman" w:cs="Times New Roman"/>
                <w:lang w:val="en-US" w:eastAsia="zh-CN"/>
              </w:rPr>
              <w:t>41</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1,4-二氯苯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8</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镍</w:t>
            </w:r>
          </w:p>
        </w:tc>
        <w:tc>
          <w:tcPr>
            <w:tcW w:w="2067"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35</w:t>
            </w:r>
            <w:r>
              <w:rPr>
                <w:rFonts w:hint="default" w:ascii="Times New Roman" w:hAnsi="Times New Roman" w:cs="Times New Roman"/>
              </w:rPr>
              <w:t>~</w:t>
            </w:r>
            <w:r>
              <w:rPr>
                <w:rFonts w:hint="eastAsia" w:ascii="Times New Roman" w:hAnsi="Times New Roman" w:cs="Times New Roman"/>
                <w:lang w:val="en-US" w:eastAsia="zh-CN"/>
              </w:rPr>
              <w:t>45</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31</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乙苯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r>
              <w:rPr>
                <w:rFonts w:hint="eastAsia" w:ascii="Times New Roman" w:hAnsi="Times New Roman" w:cs="Times New Roman"/>
                <w:lang w:val="en-US" w:eastAsia="zh-CN"/>
              </w:rPr>
              <w:t>1.5</w:t>
            </w:r>
            <w:r>
              <w:rPr>
                <w:rFonts w:hint="default" w:ascii="Times New Roman" w:hAnsi="Times New Roman" w:cs="Times New Roman"/>
              </w:rPr>
              <w:t>×10</w:t>
            </w:r>
            <w:r>
              <w:rPr>
                <w:rFonts w:hint="default"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9</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四氯化碳</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32</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苯乙烯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三氯甲烷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33</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甲苯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11</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氯甲烷</w:t>
            </w:r>
          </w:p>
        </w:tc>
        <w:tc>
          <w:tcPr>
            <w:tcW w:w="2067" w:type="dxa"/>
            <w:noWrap/>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rPr>
              <w:t>未检出~</w:t>
            </w:r>
            <w:r>
              <w:rPr>
                <w:rFonts w:hint="eastAsia" w:ascii="Times New Roman" w:hAnsi="Times New Roman" w:cs="Times New Roman"/>
                <w:lang w:val="en-US" w:eastAsia="zh-CN"/>
              </w:rPr>
              <w:t>0.0212</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34</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对间-二甲苯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r>
              <w:rPr>
                <w:rFonts w:hint="eastAsia" w:ascii="Times New Roman" w:hAnsi="Times New Roman" w:cs="Times New Roman"/>
                <w:lang w:val="en-US" w:eastAsia="zh-CN"/>
              </w:rPr>
              <w:t>1.2</w:t>
            </w:r>
            <w:r>
              <w:rPr>
                <w:rFonts w:hint="default" w:ascii="Times New Roman" w:hAnsi="Times New Roman" w:cs="Times New Roman"/>
              </w:rPr>
              <w:t>×10</w:t>
            </w:r>
            <w:r>
              <w:rPr>
                <w:rFonts w:hint="default"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1,1-二氯乙烷</w:t>
            </w:r>
          </w:p>
        </w:tc>
        <w:tc>
          <w:tcPr>
            <w:tcW w:w="2067" w:type="dxa"/>
            <w:noWrap/>
            <w:vAlign w:val="center"/>
          </w:tcPr>
          <w:p>
            <w:pPr>
              <w:jc w:val="center"/>
              <w:rPr>
                <w:rFonts w:hint="default" w:ascii="Times New Roman" w:hAnsi="Times New Roman" w:cs="Times New Roman"/>
                <w:lang w:val="en-US"/>
              </w:rPr>
            </w:pPr>
            <w:r>
              <w:rPr>
                <w:rFonts w:hint="default" w:ascii="Times New Roman" w:hAnsi="Times New Roman" w:cs="Times New Roman"/>
              </w:rPr>
              <w:t>未检出~</w:t>
            </w:r>
            <w:r>
              <w:rPr>
                <w:rFonts w:hint="eastAsia" w:ascii="Times New Roman" w:hAnsi="Times New Roman" w:cs="Times New Roman"/>
                <w:lang w:val="en-US" w:eastAsia="zh-CN"/>
              </w:rPr>
              <w:t>1.5</w:t>
            </w:r>
            <w:r>
              <w:rPr>
                <w:rFonts w:hint="default" w:ascii="Times New Roman" w:hAnsi="Times New Roman" w:cs="Times New Roman"/>
              </w:rPr>
              <w:t>×10</w:t>
            </w:r>
            <w:r>
              <w:rPr>
                <w:rFonts w:hint="default" w:ascii="Times New Roman" w:hAnsi="Times New Roman" w:cs="Times New Roman"/>
                <w:vertAlign w:val="superscript"/>
              </w:rPr>
              <w:t>-3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35</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邻-二甲苯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13</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1,2-二氯乙烷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36</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硝基苯</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1,1-二氯乙烯</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37</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苯胺</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顺式-1,2-二氯乙烯</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38</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2-氯酚</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16</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反式-1,2-二氯乙烯</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39</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苯并（a）蒽</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17</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二氯甲烷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40</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苯并（a）芘</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未检出~0.</w:t>
            </w:r>
            <w:r>
              <w:rPr>
                <w:rFonts w:hint="eastAsia" w:ascii="Times New Roman" w:hAnsi="Times New Roman" w:cs="Times New Roman"/>
                <w:lang w:val="en-US" w:eastAsia="zh-CN"/>
              </w:rPr>
              <w:t>5</w:t>
            </w:r>
            <w:r>
              <w:rPr>
                <w:rFonts w:hint="default" w:ascii="Times New Roman" w:hAnsi="Times New Roman" w:cs="Times New Roman"/>
              </w:rPr>
              <w:t>×10</w:t>
            </w:r>
            <w:r>
              <w:rPr>
                <w:rFonts w:hint="default"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18</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1,2-二氯丙烷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41</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苯并（b）荧蒽</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r>
              <w:rPr>
                <w:rFonts w:hint="eastAsia" w:ascii="Times New Roman" w:hAnsi="Times New Roman" w:cs="Times New Roman"/>
                <w:lang w:val="en-US" w:eastAsia="zh-CN"/>
              </w:rPr>
              <w:t>0.8</w:t>
            </w:r>
            <w:r>
              <w:rPr>
                <w:rFonts w:hint="default" w:ascii="Times New Roman" w:hAnsi="Times New Roman" w:cs="Times New Roman"/>
              </w:rPr>
              <w:t>×10</w:t>
            </w:r>
            <w:r>
              <w:rPr>
                <w:rFonts w:hint="default"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19</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1,1,1,2-四氯乙烷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42</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苯并（k）荧蒽</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1,1,2,2-四氯乙烷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r>
              <w:rPr>
                <w:rFonts w:hint="eastAsia" w:ascii="Times New Roman" w:hAnsi="Times New Roman" w:cs="Times New Roman"/>
                <w:lang w:val="en-US" w:eastAsia="zh-CN"/>
              </w:rPr>
              <w:t>3.4</w:t>
            </w:r>
            <w:r>
              <w:rPr>
                <w:rFonts w:hint="default" w:ascii="Times New Roman" w:hAnsi="Times New Roman" w:cs="Times New Roman"/>
              </w:rPr>
              <w:t>×10</w:t>
            </w:r>
            <w:r>
              <w:rPr>
                <w:rFonts w:hint="default" w:ascii="Times New Roman" w:hAnsi="Times New Roman" w:cs="Times New Roman"/>
                <w:vertAlign w:val="superscript"/>
              </w:rPr>
              <w:t>-3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43</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䓛</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r>
              <w:rPr>
                <w:rFonts w:hint="eastAsia" w:ascii="Times New Roman" w:hAnsi="Times New Roman" w:cs="Times New Roman"/>
                <w:lang w:val="en-US" w:eastAsia="zh-CN"/>
              </w:rPr>
              <w:t>1.8</w:t>
            </w:r>
            <w:r>
              <w:rPr>
                <w:rFonts w:hint="default" w:ascii="Times New Roman" w:hAnsi="Times New Roman" w:cs="Times New Roman"/>
              </w:rPr>
              <w:t>×10</w:t>
            </w:r>
            <w:r>
              <w:rPr>
                <w:rFonts w:hint="default"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21</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四氯乙烯</w:t>
            </w:r>
          </w:p>
        </w:tc>
        <w:tc>
          <w:tcPr>
            <w:tcW w:w="2067" w:type="dxa"/>
            <w:noWrap/>
            <w:vAlign w:val="center"/>
          </w:tcPr>
          <w:p>
            <w:pPr>
              <w:jc w:val="center"/>
              <w:rPr>
                <w:rFonts w:hint="default" w:ascii="Times New Roman" w:hAnsi="Times New Roman" w:cs="Times New Roman"/>
                <w:b/>
                <w:bCs/>
              </w:rPr>
            </w:pPr>
            <w:r>
              <w:rPr>
                <w:rFonts w:hint="default" w:ascii="Times New Roman" w:hAnsi="Times New Roman" w:cs="Times New Roman"/>
              </w:rPr>
              <w:t>未检出~</w:t>
            </w:r>
            <w:r>
              <w:rPr>
                <w:rFonts w:hint="eastAsia" w:ascii="Times New Roman" w:hAnsi="Times New Roman" w:cs="Times New Roman"/>
                <w:lang w:val="en-US" w:eastAsia="zh-CN"/>
              </w:rPr>
              <w:t>8.5</w:t>
            </w:r>
            <w:r>
              <w:rPr>
                <w:rFonts w:hint="default" w:ascii="Times New Roman" w:hAnsi="Times New Roman" w:cs="Times New Roman"/>
              </w:rPr>
              <w:t>×10</w:t>
            </w:r>
            <w:r>
              <w:rPr>
                <w:rFonts w:hint="default" w:ascii="Times New Roman" w:hAnsi="Times New Roman" w:cs="Times New Roman"/>
                <w:vertAlign w:val="superscript"/>
              </w:rPr>
              <w:t>-3</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44</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二苯并（a,h）蒽</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22</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1,1,1-三氯乙烷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45</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茚并（1,2,3-c,d）芘</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noWrap/>
            <w:vAlign w:val="center"/>
          </w:tcPr>
          <w:p>
            <w:pPr>
              <w:jc w:val="center"/>
              <w:rPr>
                <w:rFonts w:hint="default" w:ascii="Times New Roman" w:hAnsi="Times New Roman" w:cs="Times New Roman"/>
              </w:rPr>
            </w:pPr>
            <w:r>
              <w:rPr>
                <w:rFonts w:hint="default" w:ascii="Times New Roman" w:hAnsi="Times New Roman" w:cs="Times New Roman"/>
              </w:rPr>
              <w:t>23</w:t>
            </w:r>
          </w:p>
        </w:tc>
        <w:tc>
          <w:tcPr>
            <w:tcW w:w="1800" w:type="dxa"/>
            <w:noWrap/>
            <w:vAlign w:val="center"/>
          </w:tcPr>
          <w:p>
            <w:pPr>
              <w:jc w:val="center"/>
              <w:rPr>
                <w:rFonts w:hint="default" w:ascii="Times New Roman" w:hAnsi="Times New Roman" w:cs="Times New Roman"/>
              </w:rPr>
            </w:pPr>
            <w:r>
              <w:rPr>
                <w:rFonts w:hint="default" w:ascii="Times New Roman" w:hAnsi="Times New Roman" w:cs="Times New Roman"/>
              </w:rPr>
              <w:t>1,1,2-三氯乙烷</w:t>
            </w:r>
          </w:p>
        </w:tc>
        <w:tc>
          <w:tcPr>
            <w:tcW w:w="2067"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567" w:type="dxa"/>
            <w:noWrap/>
            <w:vAlign w:val="center"/>
          </w:tcPr>
          <w:p>
            <w:pPr>
              <w:jc w:val="center"/>
              <w:rPr>
                <w:rFonts w:hint="default" w:ascii="Times New Roman" w:hAnsi="Times New Roman" w:cs="Times New Roman"/>
              </w:rPr>
            </w:pPr>
            <w:r>
              <w:rPr>
                <w:rFonts w:hint="default" w:ascii="Times New Roman" w:hAnsi="Times New Roman" w:cs="Times New Roman"/>
              </w:rPr>
              <w:t>46</w:t>
            </w:r>
          </w:p>
        </w:tc>
        <w:tc>
          <w:tcPr>
            <w:tcW w:w="1833" w:type="dxa"/>
            <w:noWrap/>
            <w:vAlign w:val="center"/>
          </w:tcPr>
          <w:p>
            <w:pPr>
              <w:jc w:val="center"/>
              <w:rPr>
                <w:rFonts w:hint="default" w:ascii="Times New Roman" w:hAnsi="Times New Roman" w:cs="Times New Roman"/>
              </w:rPr>
            </w:pPr>
            <w:r>
              <w:rPr>
                <w:rFonts w:hint="default" w:ascii="Times New Roman" w:hAnsi="Times New Roman" w:cs="Times New Roman"/>
              </w:rPr>
              <w:t>萘</w:t>
            </w:r>
          </w:p>
        </w:tc>
        <w:tc>
          <w:tcPr>
            <w:tcW w:w="161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r>
              <w:rPr>
                <w:rFonts w:hint="eastAsia" w:ascii="Times New Roman" w:hAnsi="Times New Roman" w:cs="Times New Roman"/>
                <w:lang w:val="en-US" w:eastAsia="zh-CN"/>
              </w:rPr>
              <w:t>10.9</w:t>
            </w:r>
            <w:r>
              <w:rPr>
                <w:rFonts w:hint="default" w:ascii="Times New Roman" w:hAnsi="Times New Roman" w:cs="Times New Roman"/>
              </w:rPr>
              <w:t>×10</w:t>
            </w:r>
            <w:r>
              <w:rPr>
                <w:rFonts w:hint="default" w:ascii="Times New Roman" w:hAnsi="Times New Roman" w:cs="Times New Roman"/>
                <w:vertAlign w:val="superscript"/>
              </w:rPr>
              <w:t>-3</w:t>
            </w:r>
          </w:p>
        </w:tc>
      </w:tr>
    </w:tbl>
    <w:p>
      <w:pPr>
        <w:widowControl/>
        <w:spacing w:line="360" w:lineRule="auto"/>
        <w:jc w:val="both"/>
        <w:rPr>
          <w:rFonts w:hint="default" w:ascii="Times New Roman" w:hAnsi="Times New Roman" w:cs="Times New Roman"/>
          <w:b/>
          <w:bCs/>
          <w:sz w:val="24"/>
          <w:szCs w:val="24"/>
        </w:rPr>
      </w:pPr>
    </w:p>
    <w:p>
      <w:pPr>
        <w:widowControl/>
        <w:spacing w:line="360" w:lineRule="auto"/>
        <w:ind w:firstLine="482" w:firstLineChars="200"/>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w:t>
      </w:r>
      <w:r>
        <w:rPr>
          <w:rFonts w:hint="eastAsia" w:ascii="Times New Roman" w:hAnsi="Times New Roman" w:cs="Times New Roman"/>
          <w:b/>
          <w:bCs/>
          <w:sz w:val="24"/>
          <w:szCs w:val="24"/>
          <w:lang w:val="en-US" w:eastAsia="zh-CN"/>
        </w:rPr>
        <w:t>17</w:t>
      </w:r>
      <w:r>
        <w:rPr>
          <w:rFonts w:hint="default" w:ascii="Times New Roman" w:hAnsi="Times New Roman" w:cs="Times New Roman"/>
          <w:b/>
          <w:bCs/>
          <w:sz w:val="24"/>
          <w:szCs w:val="24"/>
        </w:rPr>
        <w:t>-1 土壤初步采样结果一览表</w:t>
      </w:r>
    </w:p>
    <w:tbl>
      <w:tblPr>
        <w:tblStyle w:val="9"/>
        <w:tblW w:w="50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280"/>
        <w:gridCol w:w="1242"/>
        <w:gridCol w:w="1172"/>
        <w:gridCol w:w="1018"/>
        <w:gridCol w:w="1517"/>
        <w:gridCol w:w="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36"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采样点位/深度及结果</w:t>
            </w:r>
          </w:p>
          <w:p>
            <w:pPr>
              <w:jc w:val="center"/>
              <w:rPr>
                <w:rFonts w:hint="default" w:ascii="Times New Roman" w:hAnsi="Times New Roman" w:cs="Times New Roman"/>
                <w:sz w:val="24"/>
                <w:szCs w:val="24"/>
              </w:rPr>
            </w:pPr>
            <w:r>
              <w:rPr>
                <w:rFonts w:hint="default" w:ascii="Times New Roman" w:hAnsi="Times New Roman" w:cs="Times New Roman"/>
                <w:sz w:val="24"/>
                <w:szCs w:val="24"/>
              </w:rPr>
              <w:t>检测项目</w:t>
            </w:r>
          </w:p>
        </w:tc>
        <w:tc>
          <w:tcPr>
            <w:tcW w:w="2753"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default" w:ascii="Times New Roman" w:hAnsi="Times New Roman" w:cs="Times New Roman"/>
                <w:sz w:val="24"/>
                <w:szCs w:val="24"/>
              </w:rPr>
              <w:t>1</w:t>
            </w:r>
            <w:r>
              <w:rPr>
                <w:rFonts w:hint="eastAsia" w:ascii="Times New Roman" w:hAnsi="Times New Roman" w:cs="Times New Roman"/>
                <w:sz w:val="24"/>
                <w:szCs w:val="24"/>
                <w:lang w:val="en-US" w:eastAsia="zh-CN"/>
              </w:rPr>
              <w:t>#</w:t>
            </w:r>
          </w:p>
        </w:tc>
        <w:tc>
          <w:tcPr>
            <w:tcW w:w="886"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评价标准</w:t>
            </w:r>
          </w:p>
        </w:tc>
        <w:tc>
          <w:tcPr>
            <w:tcW w:w="52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是否</w:t>
            </w:r>
          </w:p>
          <w:p>
            <w:pPr>
              <w:jc w:val="center"/>
              <w:rPr>
                <w:rFonts w:hint="default" w:ascii="Times New Roman" w:hAnsi="Times New Roman" w:cs="Times New Roman"/>
                <w:sz w:val="24"/>
                <w:szCs w:val="24"/>
              </w:rPr>
            </w:pPr>
            <w:r>
              <w:rPr>
                <w:rFonts w:hint="default" w:ascii="Times New Roman" w:hAnsi="Times New Roman" w:cs="Times New Roman"/>
                <w:sz w:val="24"/>
                <w:szCs w:val="24"/>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36"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rPr>
            </w:pPr>
          </w:p>
        </w:tc>
        <w:tc>
          <w:tcPr>
            <w:tcW w:w="748"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0~0.5m</w:t>
            </w:r>
          </w:p>
        </w:tc>
        <w:tc>
          <w:tcPr>
            <w:tcW w:w="725"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sz w:val="24"/>
                <w:szCs w:val="24"/>
                <w:lang w:val="en-US" w:eastAsia="zh-CN"/>
              </w:rPr>
              <w:t>1.0</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2.0</w:t>
            </w:r>
            <w:r>
              <w:rPr>
                <w:rFonts w:hint="default" w:ascii="Times New Roman" w:hAnsi="Times New Roman" w:cs="Times New Roman"/>
                <w:sz w:val="24"/>
                <w:szCs w:val="24"/>
              </w:rPr>
              <w:t>m</w:t>
            </w:r>
          </w:p>
        </w:tc>
        <w:tc>
          <w:tcPr>
            <w:tcW w:w="684"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sz w:val="24"/>
                <w:szCs w:val="24"/>
                <w:lang w:val="en-US" w:eastAsia="zh-CN"/>
              </w:rPr>
              <w:t>2.0</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3.0</w:t>
            </w:r>
            <w:r>
              <w:rPr>
                <w:rFonts w:hint="default" w:ascii="Times New Roman" w:hAnsi="Times New Roman" w:cs="Times New Roman"/>
                <w:sz w:val="24"/>
                <w:szCs w:val="24"/>
              </w:rPr>
              <w:t>m</w:t>
            </w:r>
          </w:p>
        </w:tc>
        <w:tc>
          <w:tcPr>
            <w:tcW w:w="594"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单位</w:t>
            </w:r>
          </w:p>
        </w:tc>
        <w:tc>
          <w:tcPr>
            <w:tcW w:w="886"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rPr>
            </w:pPr>
          </w:p>
        </w:tc>
        <w:tc>
          <w:tcPr>
            <w:tcW w:w="523"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镉</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0.186</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0.170</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0.172</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20 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汞</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0.074</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0.044</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0.076</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 xml:space="preserve"> 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砷</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8.04</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kern w:val="2"/>
                <w:sz w:val="24"/>
                <w:szCs w:val="24"/>
                <w:lang w:val="en-US" w:eastAsia="zh-CN"/>
              </w:rPr>
              <w:t>10.6</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kern w:val="2"/>
                <w:sz w:val="24"/>
                <w:szCs w:val="24"/>
                <w:lang w:val="en-US" w:eastAsia="zh-CN"/>
              </w:rPr>
              <w:t>8.85</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sz w:val="24"/>
                <w:szCs w:val="24"/>
                <w:lang w:val="en-US" w:eastAsia="zh-CN"/>
              </w:rPr>
              <w:t>20</w:t>
            </w:r>
            <w:r>
              <w:rPr>
                <w:rFonts w:hint="default" w:ascii="Times New Roman" w:hAnsi="Times New Roman" w:cs="Times New Roman"/>
                <w:sz w:val="24"/>
                <w:szCs w:val="24"/>
              </w:rPr>
              <w:t>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铜</w:t>
            </w:r>
          </w:p>
        </w:tc>
        <w:tc>
          <w:tcPr>
            <w:tcW w:w="748" w:type="pct"/>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jc w:val="center"/>
              <w:rPr>
                <w:rFonts w:hint="default" w:ascii="Times New Roman" w:hAnsi="Times New Roman" w:cs="Times New Roman"/>
                <w:sz w:val="24"/>
                <w:szCs w:val="24"/>
              </w:rPr>
            </w:pPr>
            <w:r>
              <w:rPr>
                <w:rFonts w:hint="eastAsia" w:ascii="Times New Roman" w:hAnsi="Times New Roman" w:cs="Times New Roman"/>
                <w:kern w:val="2"/>
                <w:sz w:val="24"/>
                <w:szCs w:val="24"/>
                <w:lang w:val="en-US" w:eastAsia="zh-CN"/>
              </w:rPr>
              <w:t>18</w:t>
            </w:r>
          </w:p>
        </w:tc>
        <w:tc>
          <w:tcPr>
            <w:tcW w:w="725" w:type="pct"/>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jc w:val="center"/>
              <w:rPr>
                <w:rFonts w:hint="default" w:ascii="Times New Roman" w:hAnsi="Times New Roman" w:cs="Times New Roman"/>
                <w:sz w:val="24"/>
                <w:szCs w:val="24"/>
              </w:rPr>
            </w:pPr>
            <w:r>
              <w:rPr>
                <w:rFonts w:hint="eastAsia" w:ascii="Times New Roman" w:hAnsi="Times New Roman" w:cs="Times New Roman"/>
                <w:kern w:val="2"/>
                <w:sz w:val="24"/>
                <w:szCs w:val="24"/>
                <w:lang w:val="en-US" w:eastAsia="zh-CN"/>
              </w:rPr>
              <w:t>24</w:t>
            </w:r>
          </w:p>
        </w:tc>
        <w:tc>
          <w:tcPr>
            <w:tcW w:w="684" w:type="pct"/>
            <w:tcBorders>
              <w:top w:val="single" w:color="auto" w:sz="4" w:space="0"/>
              <w:left w:val="single" w:color="auto" w:sz="4" w:space="0"/>
              <w:bottom w:val="single" w:color="auto" w:sz="4" w:space="0"/>
              <w:right w:val="single" w:color="auto" w:sz="4" w:space="0"/>
            </w:tcBorders>
            <w:vAlign w:val="center"/>
          </w:tcPr>
          <w:p>
            <w:pPr>
              <w:overflowPunct w:val="0"/>
              <w:adjustRightInd w:val="0"/>
              <w:snapToGrid w:val="0"/>
              <w:jc w:val="center"/>
              <w:rPr>
                <w:rFonts w:hint="default" w:ascii="Times New Roman" w:hAnsi="Times New Roman" w:cs="Times New Roman"/>
                <w:sz w:val="24"/>
                <w:szCs w:val="24"/>
              </w:rPr>
            </w:pPr>
            <w:r>
              <w:rPr>
                <w:rFonts w:hint="eastAsia" w:ascii="Times New Roman" w:hAnsi="Times New Roman" w:cs="Times New Roman"/>
                <w:kern w:val="2"/>
                <w:sz w:val="24"/>
                <w:szCs w:val="24"/>
                <w:lang w:val="en-US" w:eastAsia="zh-CN"/>
              </w:rPr>
              <w:t>22</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sz w:val="24"/>
                <w:szCs w:val="24"/>
                <w:lang w:val="en-US" w:eastAsia="zh-CN"/>
              </w:rPr>
              <w:t>2000</w:t>
            </w:r>
            <w:r>
              <w:rPr>
                <w:rFonts w:hint="default" w:ascii="Times New Roman" w:hAnsi="Times New Roman" w:cs="Times New Roman"/>
                <w:sz w:val="24"/>
                <w:szCs w:val="24"/>
              </w:rPr>
              <w:t xml:space="preserve"> 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铅</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32</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40</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25</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eastAsia" w:ascii="Times New Roman" w:hAnsi="Times New Roman" w:cs="Times New Roman"/>
                <w:sz w:val="24"/>
                <w:szCs w:val="24"/>
                <w:lang w:val="en-US" w:eastAsia="zh-CN"/>
              </w:rPr>
              <w:t>400</w:t>
            </w:r>
            <w:r>
              <w:rPr>
                <w:rFonts w:hint="default" w:ascii="Times New Roman" w:hAnsi="Times New Roman" w:cs="Times New Roman"/>
                <w:sz w:val="24"/>
                <w:szCs w:val="24"/>
              </w:rPr>
              <w:t xml:space="preserve"> 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镍</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40</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46</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43</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150 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eastAsia="zh-CN"/>
              </w:rPr>
              <w:t>六价铬</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1.2</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1.5</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1.5</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mg/kg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3mg/kg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PH</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8.37</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8.08</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8.05</w:t>
            </w:r>
          </w:p>
        </w:tc>
        <w:tc>
          <w:tcPr>
            <w:tcW w:w="594" w:type="pct"/>
            <w:tcBorders>
              <w:left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无量纲</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苯并[a]芘</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0.5</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μg/kg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0.55mg/kg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䓛</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0.5</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μg/kg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490mg/kg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36"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萘</w:t>
            </w:r>
          </w:p>
        </w:tc>
        <w:tc>
          <w:tcPr>
            <w:tcW w:w="74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w:t>
            </w:r>
          </w:p>
        </w:tc>
        <w:tc>
          <w:tcPr>
            <w:tcW w:w="72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w:t>
            </w:r>
          </w:p>
        </w:tc>
        <w:tc>
          <w:tcPr>
            <w:tcW w:w="68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8.9</w:t>
            </w:r>
          </w:p>
        </w:tc>
        <w:tc>
          <w:tcPr>
            <w:tcW w:w="594" w:type="pct"/>
            <w:tcBorders>
              <w:left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lang w:val="en-US" w:eastAsia="zh-CN"/>
              </w:rPr>
              <w:t>μg/kg</w:t>
            </w:r>
          </w:p>
        </w:tc>
        <w:tc>
          <w:tcPr>
            <w:tcW w:w="8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25mg/kg</w:t>
            </w:r>
          </w:p>
        </w:tc>
        <w:tc>
          <w:tcPr>
            <w:tcW w:w="5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sz w:val="24"/>
                <w:szCs w:val="24"/>
              </w:rPr>
              <w:t>备注：其余未检出数据均未显示，详见附件检测报告。</w:t>
            </w:r>
          </w:p>
        </w:tc>
      </w:tr>
    </w:tbl>
    <w:p>
      <w:pPr>
        <w:widowControl/>
        <w:spacing w:line="360" w:lineRule="auto"/>
        <w:jc w:val="left"/>
        <w:rPr>
          <w:rFonts w:hint="eastAsia"/>
          <w:lang w:eastAsia="zh-CN"/>
        </w:rPr>
      </w:pPr>
      <w:r>
        <w:rPr>
          <w:rFonts w:hint="eastAsia" w:ascii="Times New Roman" w:hAnsi="Times New Roman" w:eastAsia="宋体" w:cs="Times New Roman"/>
          <w:sz w:val="24"/>
          <w:szCs w:val="24"/>
          <w:lang w:eastAsia="zh-CN"/>
        </w:rPr>
        <w:drawing>
          <wp:inline distT="0" distB="0" distL="114300" distR="114300">
            <wp:extent cx="5277485" cy="4541520"/>
            <wp:effectExtent l="4445" t="4445" r="13970" b="6985"/>
            <wp:docPr id="38"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tbl>
      <w:tblPr>
        <w:tblStyle w:val="9"/>
        <w:tblW w:w="50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293"/>
        <w:gridCol w:w="1242"/>
        <w:gridCol w:w="1172"/>
        <w:gridCol w:w="1039"/>
        <w:gridCol w:w="1478"/>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50"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采样点位/深度及结果</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检测项目</w:t>
            </w:r>
          </w:p>
        </w:tc>
        <w:tc>
          <w:tcPr>
            <w:tcW w:w="2744"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en-US" w:eastAsia="zh-CN"/>
              </w:rPr>
              <w:t>#</w:t>
            </w:r>
          </w:p>
        </w:tc>
        <w:tc>
          <w:tcPr>
            <w:tcW w:w="854"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评价标准</w:t>
            </w:r>
          </w:p>
        </w:tc>
        <w:tc>
          <w:tcPr>
            <w:tcW w:w="551"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是否</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50"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p>
        </w:tc>
        <w:tc>
          <w:tcPr>
            <w:tcW w:w="747"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0~0.5m</w:t>
            </w:r>
          </w:p>
        </w:tc>
        <w:tc>
          <w:tcPr>
            <w:tcW w:w="718"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1.0~2.0m</w:t>
            </w:r>
          </w:p>
        </w:tc>
        <w:tc>
          <w:tcPr>
            <w:tcW w:w="677"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2.0~3.0m</w:t>
            </w:r>
          </w:p>
        </w:tc>
        <w:tc>
          <w:tcPr>
            <w:tcW w:w="600"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单位</w:t>
            </w:r>
          </w:p>
        </w:tc>
        <w:tc>
          <w:tcPr>
            <w:tcW w:w="854"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c>
          <w:tcPr>
            <w:tcW w:w="551"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镉</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0.166</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0.158</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0.131</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 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汞</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0.080</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0.097</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0.041</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 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砷</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7.18</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9.12</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7.60</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铜</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18</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 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铅</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25</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 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镍</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37</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41</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 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六价铬</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PH</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77</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91</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71</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无量纲</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苯并[b]荧蒽</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0.8</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w:t>
            </w:r>
            <w:r>
              <w:rPr>
                <w:rFonts w:hint="default" w:ascii="Times New Roman" w:hAnsi="Times New Roman" w:cs="Times New Roman"/>
                <w:sz w:val="24"/>
                <w:szCs w:val="24"/>
                <w:lang w:val="en-US" w:eastAsia="zh-CN"/>
              </w:rPr>
              <w:t>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䓛</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490mg/kg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萘</w:t>
            </w:r>
          </w:p>
        </w:tc>
        <w:tc>
          <w:tcPr>
            <w:tcW w:w="74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8.9</w:t>
            </w:r>
          </w:p>
        </w:tc>
        <w:tc>
          <w:tcPr>
            <w:tcW w:w="71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10.9</w:t>
            </w:r>
          </w:p>
        </w:tc>
        <w:tc>
          <w:tcPr>
            <w:tcW w:w="67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00"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25mg/kg</w:t>
            </w:r>
          </w:p>
        </w:tc>
        <w:tc>
          <w:tcPr>
            <w:tcW w:w="55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备注：其余未检出数据均未显示，详见附件检测报告。</w:t>
            </w:r>
          </w:p>
        </w:tc>
      </w:tr>
    </w:tbl>
    <w:p>
      <w:pPr>
        <w:widowControl/>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5275580" cy="4914265"/>
            <wp:effectExtent l="4445" t="4445" r="15875" b="15240"/>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pPr>
        <w:pStyle w:val="3"/>
        <w:ind w:left="0" w:leftChars="0" w:firstLine="0" w:firstLineChars="0"/>
        <w:rPr>
          <w:rFonts w:hint="eastAsia"/>
          <w:lang w:eastAsia="zh-CN"/>
        </w:rPr>
      </w:pPr>
    </w:p>
    <w:tbl>
      <w:tblPr>
        <w:tblStyle w:val="9"/>
        <w:tblW w:w="50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287"/>
        <w:gridCol w:w="1207"/>
        <w:gridCol w:w="1172"/>
        <w:gridCol w:w="1052"/>
        <w:gridCol w:w="150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72"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采样点位/深度及结果</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检测项目</w:t>
            </w:r>
          </w:p>
        </w:tc>
        <w:tc>
          <w:tcPr>
            <w:tcW w:w="2724"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val="en-US" w:eastAsia="zh-CN"/>
              </w:rPr>
              <w:t>#</w:t>
            </w:r>
          </w:p>
        </w:tc>
        <w:tc>
          <w:tcPr>
            <w:tcW w:w="866"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评价标准</w:t>
            </w:r>
          </w:p>
        </w:tc>
        <w:tc>
          <w:tcPr>
            <w:tcW w:w="537"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是否</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72"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p>
        </w:tc>
        <w:tc>
          <w:tcPr>
            <w:tcW w:w="743"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0~0.5m</w:t>
            </w:r>
          </w:p>
        </w:tc>
        <w:tc>
          <w:tcPr>
            <w:tcW w:w="696"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1.0~2.0m</w:t>
            </w:r>
          </w:p>
        </w:tc>
        <w:tc>
          <w:tcPr>
            <w:tcW w:w="676"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2.0~3.0m</w:t>
            </w:r>
          </w:p>
        </w:tc>
        <w:tc>
          <w:tcPr>
            <w:tcW w:w="607"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单位</w:t>
            </w:r>
          </w:p>
        </w:tc>
        <w:tc>
          <w:tcPr>
            <w:tcW w:w="866"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c>
          <w:tcPr>
            <w:tcW w:w="537"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镉</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0.162</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0.125</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0.129</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 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汞</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0.116</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0.541</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0.109</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 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7.71</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8.89</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7.29</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铜</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 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铅</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 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镍</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37</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 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六价铬</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3mg/kg</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PH</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8.00</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8.0</w:t>
            </w:r>
            <w:r>
              <w:rPr>
                <w:rFonts w:hint="eastAsia" w:ascii="Times New Roman" w:hAnsi="Times New Roman" w:cs="Times New Roman"/>
                <w:sz w:val="24"/>
                <w:szCs w:val="24"/>
                <w:lang w:val="en-US" w:eastAsia="zh-CN"/>
              </w:rPr>
              <w:t>9</w:t>
            </w:r>
          </w:p>
        </w:tc>
        <w:tc>
          <w:tcPr>
            <w:tcW w:w="67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26</w:t>
            </w:r>
          </w:p>
        </w:tc>
        <w:tc>
          <w:tcPr>
            <w:tcW w:w="607"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无量纲</w:t>
            </w:r>
          </w:p>
        </w:tc>
        <w:tc>
          <w:tcPr>
            <w:tcW w:w="8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5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备注：其余未检出数据均未显示，详见附件检测报告。</w:t>
            </w:r>
          </w:p>
        </w:tc>
      </w:tr>
    </w:tbl>
    <w:p>
      <w:pPr>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drawing>
          <wp:inline distT="0" distB="0" distL="114300" distR="114300">
            <wp:extent cx="5494020" cy="5692140"/>
            <wp:effectExtent l="4445" t="4445" r="6985" b="18415"/>
            <wp:docPr id="41" name="图表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pPr>
        <w:pStyle w:val="3"/>
        <w:ind w:left="0" w:leftChars="0" w:firstLine="0" w:firstLineChars="0"/>
        <w:rPr>
          <w:rFonts w:hint="default" w:ascii="Times New Roman" w:hAnsi="Times New Roman" w:cs="Times New Roman"/>
          <w:sz w:val="24"/>
          <w:szCs w:val="24"/>
          <w:lang w:val="en-US" w:eastAsia="zh-CN"/>
        </w:rPr>
      </w:pPr>
    </w:p>
    <w:tbl>
      <w:tblPr>
        <w:tblStyle w:val="9"/>
        <w:tblW w:w="50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0"/>
        <w:gridCol w:w="1293"/>
        <w:gridCol w:w="1190"/>
        <w:gridCol w:w="1206"/>
        <w:gridCol w:w="1052"/>
        <w:gridCol w:w="1500"/>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75"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采样点位/深度及结果</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检测项目</w:t>
            </w:r>
          </w:p>
        </w:tc>
        <w:tc>
          <w:tcPr>
            <w:tcW w:w="2731"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val="en-US" w:eastAsia="zh-CN"/>
              </w:rPr>
              <w:t>#</w:t>
            </w:r>
          </w:p>
        </w:tc>
        <w:tc>
          <w:tcPr>
            <w:tcW w:w="864"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评价标准</w:t>
            </w:r>
          </w:p>
        </w:tc>
        <w:tc>
          <w:tcPr>
            <w:tcW w:w="527"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是否</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75"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p>
        </w:tc>
        <w:tc>
          <w:tcPr>
            <w:tcW w:w="745"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0~0.5m</w:t>
            </w:r>
          </w:p>
        </w:tc>
        <w:tc>
          <w:tcPr>
            <w:tcW w:w="685"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1.0~2.0m</w:t>
            </w:r>
          </w:p>
        </w:tc>
        <w:tc>
          <w:tcPr>
            <w:tcW w:w="694"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2.0~3.0m</w:t>
            </w:r>
          </w:p>
        </w:tc>
        <w:tc>
          <w:tcPr>
            <w:tcW w:w="606"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单位</w:t>
            </w:r>
          </w:p>
        </w:tc>
        <w:tc>
          <w:tcPr>
            <w:tcW w:w="864"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c>
          <w:tcPr>
            <w:tcW w:w="527"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镉</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0.138</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0.183</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0.175</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 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汞</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0.119</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0.051</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0.309</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 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砷</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9.13</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10.6</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7.59</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铜</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24</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 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铅</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 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镍</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44</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 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六价铬</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3mg/kg</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PH</w:t>
            </w:r>
          </w:p>
        </w:tc>
        <w:tc>
          <w:tcPr>
            <w:tcW w:w="74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8.72</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8.34</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8.41</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无量纲</w:t>
            </w:r>
          </w:p>
        </w:tc>
        <w:tc>
          <w:tcPr>
            <w:tcW w:w="86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52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备注：其余未检出数据均未显示，详见附件检测报告。</w:t>
            </w:r>
          </w:p>
        </w:tc>
      </w:tr>
    </w:tbl>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drawing>
          <wp:inline distT="0" distB="0" distL="114300" distR="114300">
            <wp:extent cx="5287645" cy="5791835"/>
            <wp:effectExtent l="4445" t="4445" r="22860" b="13970"/>
            <wp:docPr id="42" name="图表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bl>
      <w:tblPr>
        <w:tblStyle w:val="9"/>
        <w:tblW w:w="51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293"/>
        <w:gridCol w:w="1172"/>
        <w:gridCol w:w="1224"/>
        <w:gridCol w:w="1066"/>
        <w:gridCol w:w="1486"/>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91"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采样点位/深度及结果</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检测项目</w:t>
            </w:r>
          </w:p>
        </w:tc>
        <w:tc>
          <w:tcPr>
            <w:tcW w:w="2730"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w:t>
            </w:r>
            <w:r>
              <w:rPr>
                <w:rFonts w:hint="default" w:ascii="Times New Roman" w:hAnsi="Times New Roman" w:cs="Times New Roman"/>
                <w:sz w:val="24"/>
                <w:szCs w:val="24"/>
                <w:lang w:val="en-US" w:eastAsia="zh-CN"/>
              </w:rPr>
              <w:t>#</w:t>
            </w:r>
          </w:p>
        </w:tc>
        <w:tc>
          <w:tcPr>
            <w:tcW w:w="85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评价标准</w:t>
            </w:r>
          </w:p>
        </w:tc>
        <w:tc>
          <w:tcPr>
            <w:tcW w:w="524"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是否</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91"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p>
        </w:tc>
        <w:tc>
          <w:tcPr>
            <w:tcW w:w="742"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0~0.5m</w:t>
            </w:r>
          </w:p>
        </w:tc>
        <w:tc>
          <w:tcPr>
            <w:tcW w:w="673"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1.0~2.0m</w:t>
            </w:r>
          </w:p>
        </w:tc>
        <w:tc>
          <w:tcPr>
            <w:tcW w:w="702"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2.0~3.0m</w:t>
            </w:r>
          </w:p>
        </w:tc>
        <w:tc>
          <w:tcPr>
            <w:tcW w:w="612"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单位</w:t>
            </w:r>
          </w:p>
        </w:tc>
        <w:tc>
          <w:tcPr>
            <w:tcW w:w="853"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c>
          <w:tcPr>
            <w:tcW w:w="524"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镉</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0.145</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0.183</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0.114</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 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汞</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0.085</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0.082</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0.054</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 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砷</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8.95</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r>
              <w:rPr>
                <w:rFonts w:hint="eastAsia" w:ascii="Times New Roman" w:hAnsi="Times New Roman" w:cs="Times New Roman"/>
                <w:sz w:val="24"/>
                <w:szCs w:val="24"/>
                <w:lang w:val="en-US" w:eastAsia="zh-CN"/>
              </w:rPr>
              <w:t>2</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7.89</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铜</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eastAsia" w:ascii="Times New Roman" w:hAnsi="Times New Roman" w:cs="Times New Roman"/>
                <w:sz w:val="24"/>
                <w:szCs w:val="24"/>
                <w:lang w:val="en-US" w:eastAsia="zh-CN"/>
              </w:rPr>
              <w:t>3</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eastAsia" w:ascii="Times New Roman" w:hAnsi="Times New Roman" w:cs="Times New Roman"/>
                <w:sz w:val="24"/>
                <w:szCs w:val="24"/>
                <w:lang w:val="en-US" w:eastAsia="zh-CN"/>
              </w:rPr>
              <w:t>0</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 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铅</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 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镍</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3</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 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六价铬</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w:t>
            </w:r>
            <w:r>
              <w:rPr>
                <w:rFonts w:hint="eastAsia" w:ascii="Times New Roman" w:hAnsi="Times New Roman" w:cs="Times New Roman"/>
                <w:sz w:val="24"/>
                <w:szCs w:val="24"/>
                <w:lang w:val="en-US" w:eastAsia="zh-CN"/>
              </w:rPr>
              <w:t>9</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3mg/kg</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PH</w:t>
            </w:r>
          </w:p>
        </w:tc>
        <w:tc>
          <w:tcPr>
            <w:tcW w:w="74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23</w:t>
            </w:r>
          </w:p>
        </w:tc>
        <w:tc>
          <w:tcPr>
            <w:tcW w:w="67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14</w:t>
            </w:r>
          </w:p>
        </w:tc>
        <w:tc>
          <w:tcPr>
            <w:tcW w:w="70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8.05</w:t>
            </w:r>
          </w:p>
        </w:tc>
        <w:tc>
          <w:tcPr>
            <w:tcW w:w="612"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无量纲</w:t>
            </w:r>
          </w:p>
        </w:tc>
        <w:tc>
          <w:tcPr>
            <w:tcW w:w="8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备注：其余未检出数据均未显示，详见附件检测报告。</w:t>
            </w:r>
          </w:p>
        </w:tc>
      </w:tr>
    </w:tbl>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drawing>
          <wp:inline distT="0" distB="0" distL="114300" distR="114300">
            <wp:extent cx="5155565" cy="5736590"/>
            <wp:effectExtent l="4445" t="4445" r="21590" b="12065"/>
            <wp:docPr id="43" name="图表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bl>
      <w:tblPr>
        <w:tblStyle w:val="9"/>
        <w:tblW w:w="51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1500"/>
        <w:gridCol w:w="1173"/>
        <w:gridCol w:w="1206"/>
        <w:gridCol w:w="1066"/>
        <w:gridCol w:w="1503"/>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23"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采样点位/深度及结果</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检测项目</w:t>
            </w:r>
          </w:p>
        </w:tc>
        <w:tc>
          <w:tcPr>
            <w:tcW w:w="2811"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6</w:t>
            </w:r>
            <w:r>
              <w:rPr>
                <w:rFonts w:hint="default" w:ascii="Times New Roman" w:hAnsi="Times New Roman" w:cs="Times New Roman"/>
                <w:sz w:val="24"/>
                <w:szCs w:val="24"/>
                <w:lang w:val="en-US" w:eastAsia="zh-CN"/>
              </w:rPr>
              <w:t>#</w:t>
            </w:r>
          </w:p>
        </w:tc>
        <w:tc>
          <w:tcPr>
            <w:tcW w:w="854"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评价标准</w:t>
            </w:r>
          </w:p>
        </w:tc>
        <w:tc>
          <w:tcPr>
            <w:tcW w:w="510"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是否</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23"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p>
        </w:tc>
        <w:tc>
          <w:tcPr>
            <w:tcW w:w="852"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0~0.5m</w:t>
            </w:r>
          </w:p>
        </w:tc>
        <w:tc>
          <w:tcPr>
            <w:tcW w:w="666"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1.0~2.0m</w:t>
            </w:r>
          </w:p>
        </w:tc>
        <w:tc>
          <w:tcPr>
            <w:tcW w:w="685"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2.0~3.0m</w:t>
            </w:r>
          </w:p>
        </w:tc>
        <w:tc>
          <w:tcPr>
            <w:tcW w:w="606"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单位</w:t>
            </w:r>
          </w:p>
        </w:tc>
        <w:tc>
          <w:tcPr>
            <w:tcW w:w="854"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c>
          <w:tcPr>
            <w:tcW w:w="510"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镉</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0.174</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0.176</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w:t>
            </w:r>
            <w:r>
              <w:rPr>
                <w:rFonts w:hint="eastAsia" w:ascii="Times New Roman" w:hAnsi="Times New Roman" w:cs="Times New Roman"/>
                <w:sz w:val="24"/>
                <w:szCs w:val="24"/>
                <w:lang w:val="en-US" w:eastAsia="zh-CN"/>
              </w:rPr>
              <w:t>33</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 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汞</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0.104</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0.120</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0.076</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 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砷</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8.33</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w:t>
            </w:r>
            <w:r>
              <w:rPr>
                <w:rFonts w:hint="eastAsia" w:ascii="Times New Roman" w:hAnsi="Times New Roman" w:cs="Times New Roman"/>
                <w:sz w:val="24"/>
                <w:szCs w:val="24"/>
                <w:lang w:val="en-US" w:eastAsia="zh-CN"/>
              </w:rPr>
              <w:t>2</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5.56</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铜</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eastAsia" w:ascii="Times New Roman" w:hAnsi="Times New Roman" w:cs="Times New Roman"/>
                <w:sz w:val="24"/>
                <w:szCs w:val="24"/>
                <w:lang w:val="en-US" w:eastAsia="zh-CN"/>
              </w:rPr>
              <w:t>3</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 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铅</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39</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 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镍</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41</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w:t>
            </w:r>
            <w:r>
              <w:rPr>
                <w:rFonts w:hint="eastAsia" w:ascii="Times New Roman" w:hAnsi="Times New Roman" w:cs="Times New Roman"/>
                <w:sz w:val="24"/>
                <w:szCs w:val="24"/>
                <w:lang w:val="en-US" w:eastAsia="zh-CN"/>
              </w:rPr>
              <w:t>5</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37</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 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六价铬</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0.8</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1.9</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3mg/kg</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PH</w:t>
            </w:r>
          </w:p>
        </w:tc>
        <w:tc>
          <w:tcPr>
            <w:tcW w:w="85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59</w:t>
            </w:r>
          </w:p>
        </w:tc>
        <w:tc>
          <w:tcPr>
            <w:tcW w:w="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46</w:t>
            </w:r>
          </w:p>
        </w:tc>
        <w:tc>
          <w:tcPr>
            <w:tcW w:w="68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w:t>
            </w:r>
            <w:r>
              <w:rPr>
                <w:rFonts w:hint="eastAsia" w:ascii="Times New Roman" w:hAnsi="Times New Roman" w:cs="Times New Roman"/>
                <w:sz w:val="24"/>
                <w:szCs w:val="24"/>
                <w:lang w:val="en-US" w:eastAsia="zh-CN"/>
              </w:rPr>
              <w:t>53</w:t>
            </w:r>
          </w:p>
        </w:tc>
        <w:tc>
          <w:tcPr>
            <w:tcW w:w="606"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无量纲</w:t>
            </w:r>
          </w:p>
        </w:tc>
        <w:tc>
          <w:tcPr>
            <w:tcW w:w="8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51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备注：其余未检出数据均未显示，详见附件检测报告。</w:t>
            </w:r>
          </w:p>
        </w:tc>
      </w:tr>
    </w:tbl>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drawing>
          <wp:inline distT="0" distB="0" distL="114300" distR="114300">
            <wp:extent cx="5179060" cy="5780405"/>
            <wp:effectExtent l="4445" t="4445" r="17145" b="6350"/>
            <wp:docPr id="44" name="图表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bl>
      <w:tblPr>
        <w:tblStyle w:val="9"/>
        <w:tblW w:w="51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6"/>
        <w:gridCol w:w="1449"/>
        <w:gridCol w:w="1231"/>
        <w:gridCol w:w="1189"/>
        <w:gridCol w:w="1104"/>
        <w:gridCol w:w="1448"/>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850" w:type="pct"/>
            <w:vMerge w:val="restart"/>
            <w:tcBorders>
              <w:top w:val="single" w:color="auto" w:sz="4" w:space="0"/>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采样点位/深度及结果</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检测项目</w:t>
            </w:r>
          </w:p>
        </w:tc>
        <w:tc>
          <w:tcPr>
            <w:tcW w:w="2807"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w:t>
            </w:r>
            <w:r>
              <w:rPr>
                <w:rFonts w:hint="default" w:ascii="Times New Roman" w:hAnsi="Times New Roman" w:cs="Times New Roman"/>
                <w:sz w:val="24"/>
                <w:szCs w:val="24"/>
                <w:lang w:val="en-US" w:eastAsia="zh-CN"/>
              </w:rPr>
              <w:t>#</w:t>
            </w:r>
          </w:p>
        </w:tc>
        <w:tc>
          <w:tcPr>
            <w:tcW w:w="817"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评价标准</w:t>
            </w:r>
          </w:p>
        </w:tc>
        <w:tc>
          <w:tcPr>
            <w:tcW w:w="525"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是否</w:t>
            </w:r>
          </w:p>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blHeader/>
          <w:jc w:val="center"/>
        </w:trPr>
        <w:tc>
          <w:tcPr>
            <w:tcW w:w="850" w:type="pct"/>
            <w:vMerge w:val="continue"/>
            <w:tcBorders>
              <w:left w:val="single" w:color="auto" w:sz="4" w:space="0"/>
              <w:right w:val="single" w:color="auto" w:sz="4" w:space="0"/>
              <w:tl2br w:val="single" w:color="auto" w:sz="4" w:space="0"/>
            </w:tcBorders>
            <w:vAlign w:val="center"/>
          </w:tcPr>
          <w:p>
            <w:pPr>
              <w:jc w:val="center"/>
              <w:rPr>
                <w:rFonts w:hint="default" w:ascii="Times New Roman" w:hAnsi="Times New Roman" w:cs="Times New Roman"/>
                <w:sz w:val="24"/>
                <w:szCs w:val="24"/>
                <w:lang w:val="en-US" w:eastAsia="zh-CN"/>
              </w:rPr>
            </w:pPr>
          </w:p>
        </w:tc>
        <w:tc>
          <w:tcPr>
            <w:tcW w:w="817"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0~0.5m</w:t>
            </w:r>
          </w:p>
        </w:tc>
        <w:tc>
          <w:tcPr>
            <w:tcW w:w="694"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1.0~2.0m</w:t>
            </w:r>
          </w:p>
        </w:tc>
        <w:tc>
          <w:tcPr>
            <w:tcW w:w="671"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2.0~3.0m</w:t>
            </w:r>
          </w:p>
        </w:tc>
        <w:tc>
          <w:tcPr>
            <w:tcW w:w="623" w:type="pct"/>
            <w:tcBorders>
              <w:top w:val="single" w:color="auto" w:sz="4" w:space="0"/>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单位</w:t>
            </w:r>
          </w:p>
        </w:tc>
        <w:tc>
          <w:tcPr>
            <w:tcW w:w="817"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c>
          <w:tcPr>
            <w:tcW w:w="525" w:type="pct"/>
            <w:vMerge w:val="continue"/>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镉</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0.373</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0.150</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0.128</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 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汞</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0.057</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0.043</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0.082</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 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砷</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8.94</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9.44</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5.00</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铜</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r>
              <w:rPr>
                <w:rFonts w:hint="eastAsia" w:ascii="Times New Roman" w:hAnsi="Times New Roman" w:cs="Times New Roman"/>
                <w:sz w:val="24"/>
                <w:szCs w:val="24"/>
                <w:lang w:val="en-US" w:eastAsia="zh-CN"/>
              </w:rPr>
              <w:t>3</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2000 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铅</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54</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47</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39</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400 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镍</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45</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35</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150 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六价铬</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2.3</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0.8</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1.9</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PH</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8.81</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8.41</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8.47</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无量纲</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氯甲烷</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21.2</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lang w:val="en-US" w:eastAsia="zh-CN"/>
              </w:rPr>
              <w:t>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1,1-二氯乙烷</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0.52</w:t>
            </w:r>
            <w:r>
              <w:rPr>
                <w:rFonts w:hint="default" w:ascii="Times New Roman" w:hAnsi="Times New Roman" w:cs="Times New Roman"/>
                <w:sz w:val="24"/>
                <w:szCs w:val="24"/>
                <w:lang w:val="en-US" w:eastAsia="zh-CN"/>
              </w:rPr>
              <w:t>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1,1,2,2-四氯乙烷</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3.4</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2.6</w:t>
            </w:r>
            <w:r>
              <w:rPr>
                <w:rFonts w:hint="default" w:ascii="Times New Roman" w:hAnsi="Times New Roman" w:cs="Times New Roman"/>
                <w:sz w:val="24"/>
                <w:szCs w:val="24"/>
                <w:lang w:val="en-US" w:eastAsia="zh-CN"/>
              </w:rPr>
              <w:t>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四氯乙烯</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8.5</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1.6mg/kg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color w:val="auto"/>
                <w:kern w:val="2"/>
                <w:sz w:val="24"/>
                <w:szCs w:val="24"/>
                <w:lang w:eastAsia="zh-CN"/>
              </w:rPr>
              <w:t>乙苯</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1.5</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7.2</w:t>
            </w:r>
            <w:r>
              <w:rPr>
                <w:rFonts w:hint="default" w:ascii="Times New Roman" w:hAnsi="Times New Roman" w:cs="Times New Roman"/>
                <w:sz w:val="24"/>
                <w:szCs w:val="24"/>
                <w:lang w:val="en-US" w:eastAsia="zh-CN"/>
              </w:rPr>
              <w:t>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间+对二甲苯</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w:t>
            </w:r>
          </w:p>
        </w:tc>
        <w:tc>
          <w:tcPr>
            <w:tcW w:w="67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w:t>
            </w:r>
          </w:p>
        </w:tc>
        <w:tc>
          <w:tcPr>
            <w:tcW w:w="623" w:type="pct"/>
            <w:tcBorders>
              <w:left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μg/kg</w:t>
            </w:r>
          </w:p>
        </w:tc>
        <w:tc>
          <w:tcPr>
            <w:tcW w:w="81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163</w:t>
            </w:r>
            <w:r>
              <w:rPr>
                <w:rFonts w:hint="default" w:ascii="Times New Roman" w:hAnsi="Times New Roman" w:cs="Times New Roman"/>
                <w:sz w:val="24"/>
                <w:szCs w:val="24"/>
                <w:lang w:val="en-US" w:eastAsia="zh-CN"/>
              </w:rPr>
              <w:t>mg/kg</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备注：其余未检出数据均未显示，详见附件检测报告。</w:t>
            </w:r>
          </w:p>
        </w:tc>
      </w:tr>
    </w:tbl>
    <w:p>
      <w:pPr>
        <w:pStyle w:val="3"/>
        <w:ind w:left="0" w:leftChars="0" w:firstLine="0" w:firstLineChars="0"/>
        <w:rPr>
          <w:rFonts w:hint="eastAsia" w:eastAsia="宋体"/>
          <w:lang w:eastAsia="zh-CN"/>
        </w:rPr>
      </w:pPr>
      <w:r>
        <w:rPr>
          <w:rFonts w:hint="eastAsia" w:eastAsia="宋体"/>
          <w:lang w:eastAsia="zh-CN"/>
        </w:rPr>
        <w:drawing>
          <wp:inline distT="0" distB="0" distL="114300" distR="114300">
            <wp:extent cx="5462270" cy="3810000"/>
            <wp:effectExtent l="4445" t="4445" r="19685" b="14605"/>
            <wp:docPr id="45"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pPr>
        <w:widowControl/>
        <w:spacing w:line="360" w:lineRule="auto"/>
        <w:ind w:firstLine="480" w:firstLineChars="200"/>
        <w:jc w:val="left"/>
        <w:rPr>
          <w:rFonts w:hint="eastAsia" w:ascii="Times New Roman" w:hAnsi="Times New Roman" w:eastAsia="宋体" w:cs="Times New Roman"/>
          <w:sz w:val="24"/>
          <w:szCs w:val="24"/>
          <w:lang w:val="en-US" w:eastAsia="zh-CN"/>
        </w:rPr>
      </w:pPr>
      <w:r>
        <w:rPr>
          <w:rFonts w:hint="default" w:ascii="Times New Roman" w:hAnsi="Times New Roman" w:cs="Times New Roman"/>
          <w:sz w:val="24"/>
          <w:szCs w:val="24"/>
        </w:rPr>
        <w:t>根据检测结果，所有检测项目均低于《土壤环境质量建设用地土壤环境污染风险管控标准》（GB36600-2018）规定的建设用地土壤污染风险第</w:t>
      </w:r>
      <w:r>
        <w:rPr>
          <w:rFonts w:hint="eastAsia" w:ascii="Times New Roman" w:hAnsi="Times New Roman" w:cs="Times New Roman"/>
          <w:sz w:val="24"/>
          <w:szCs w:val="24"/>
          <w:lang w:eastAsia="zh-CN"/>
        </w:rPr>
        <w:t>一</w:t>
      </w:r>
      <w:r>
        <w:rPr>
          <w:rFonts w:hint="default" w:ascii="Times New Roman" w:hAnsi="Times New Roman" w:cs="Times New Roman"/>
          <w:sz w:val="24"/>
          <w:szCs w:val="24"/>
        </w:rPr>
        <w:t>类用地筛选值标准。</w:t>
      </w:r>
      <w:r>
        <w:rPr>
          <w:rFonts w:hint="eastAsia" w:ascii="Times New Roman" w:hAnsi="Times New Roman" w:cs="Times New Roman"/>
          <w:sz w:val="24"/>
          <w:szCs w:val="24"/>
          <w:lang w:eastAsia="zh-CN"/>
        </w:rPr>
        <w:t>根据土壤初步采样结果一览表柱状图可以看到，检出指标数值从上到下线性降低，说明土壤越向下污染程度越轻。</w:t>
      </w:r>
    </w:p>
    <w:p>
      <w:pPr>
        <w:widowControl/>
        <w:spacing w:line="360" w:lineRule="auto"/>
        <w:ind w:firstLine="482" w:firstLineChars="200"/>
        <w:jc w:val="left"/>
        <w:outlineLvl w:val="1"/>
        <w:rPr>
          <w:rFonts w:hint="default" w:ascii="Times New Roman" w:hAnsi="Times New Roman" w:cs="Times New Roman"/>
          <w:b/>
          <w:color w:val="000000"/>
          <w:sz w:val="24"/>
          <w:szCs w:val="24"/>
        </w:rPr>
      </w:pPr>
      <w:bookmarkStart w:id="483" w:name="_Toc11285"/>
      <w:bookmarkStart w:id="484" w:name="_Toc23675"/>
      <w:bookmarkStart w:id="485" w:name="_Toc18811"/>
      <w:r>
        <w:rPr>
          <w:rFonts w:hint="default" w:ascii="Times New Roman" w:hAnsi="Times New Roman" w:cs="Times New Roman"/>
          <w:b/>
          <w:color w:val="000000"/>
          <w:sz w:val="24"/>
          <w:szCs w:val="24"/>
        </w:rPr>
        <w:t>5.2.2地下水样品检测结果分析</w:t>
      </w:r>
      <w:bookmarkEnd w:id="483"/>
      <w:bookmarkEnd w:id="484"/>
      <w:bookmarkEnd w:id="485"/>
    </w:p>
    <w:p>
      <w:pPr>
        <w:widowControl/>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根据地下水样品测试报告，对本次地块土壤污染状况初步调查所采取的地下水样品的测试结果与《地下水质量标准》（GB/T 14848-2017）中规定的Ⅲ类指标限值进行比对。</w:t>
      </w:r>
      <w:r>
        <w:rPr>
          <w:rFonts w:hint="default" w:ascii="Times New Roman" w:hAnsi="Times New Roman" w:cs="Times New Roman"/>
          <w:sz w:val="24"/>
          <w:szCs w:val="24"/>
          <w:u w:val="single"/>
        </w:rPr>
        <w:t>地下水样检测结果表明除总硬度、溶解性总固体、铝、氨氮外，其他检测指标均符合地下水</w:t>
      </w:r>
      <w:r>
        <w:rPr>
          <w:rFonts w:hint="default" w:ascii="Times New Roman" w:hAnsi="Times New Roman" w:cs="Times New Roman"/>
          <w:sz w:val="24"/>
          <w:szCs w:val="24"/>
          <w:u w:val="single"/>
        </w:rPr>
        <w:fldChar w:fldCharType="begin"/>
      </w:r>
      <w:r>
        <w:rPr>
          <w:rFonts w:hint="default" w:ascii="Times New Roman" w:hAnsi="Times New Roman" w:cs="Times New Roman"/>
          <w:sz w:val="24"/>
          <w:szCs w:val="24"/>
          <w:u w:val="single"/>
        </w:rPr>
        <w:instrText xml:space="preserve">=3\*ROMAN</w:instrText>
      </w:r>
      <w:r>
        <w:rPr>
          <w:rFonts w:hint="default" w:ascii="Times New Roman" w:hAnsi="Times New Roman" w:cs="Times New Roman"/>
          <w:sz w:val="24"/>
          <w:szCs w:val="24"/>
          <w:u w:val="single"/>
        </w:rPr>
        <w:fldChar w:fldCharType="separate"/>
      </w:r>
      <w:r>
        <w:rPr>
          <w:rFonts w:hint="default" w:ascii="Times New Roman" w:hAnsi="Times New Roman" w:cs="Times New Roman"/>
          <w:sz w:val="24"/>
          <w:szCs w:val="24"/>
          <w:u w:val="single"/>
        </w:rPr>
        <w:t>III</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u w:val="single"/>
        </w:rPr>
        <w:t>类水质标准；总硬度、溶解性总固体、铝达到</w:t>
      </w:r>
      <w:r>
        <w:rPr>
          <w:rFonts w:hint="default" w:ascii="Times New Roman" w:hAnsi="Times New Roman" w:cs="Times New Roman"/>
          <w:sz w:val="24"/>
          <w:szCs w:val="24"/>
          <w:u w:val="single"/>
        </w:rPr>
        <w:fldChar w:fldCharType="begin"/>
      </w:r>
      <w:r>
        <w:rPr>
          <w:rFonts w:hint="default" w:ascii="Times New Roman" w:hAnsi="Times New Roman" w:cs="Times New Roman"/>
          <w:sz w:val="24"/>
          <w:szCs w:val="24"/>
          <w:u w:val="single"/>
        </w:rPr>
        <w:instrText xml:space="preserve">=4\*ROMAN</w:instrText>
      </w:r>
      <w:r>
        <w:rPr>
          <w:rFonts w:hint="default" w:ascii="Times New Roman" w:hAnsi="Times New Roman" w:cs="Times New Roman"/>
          <w:sz w:val="24"/>
          <w:szCs w:val="24"/>
          <w:u w:val="single"/>
        </w:rPr>
        <w:fldChar w:fldCharType="separate"/>
      </w:r>
      <w:r>
        <w:rPr>
          <w:rFonts w:hint="default" w:ascii="Times New Roman" w:hAnsi="Times New Roman" w:cs="Times New Roman"/>
          <w:sz w:val="24"/>
          <w:szCs w:val="24"/>
          <w:u w:val="single"/>
        </w:rPr>
        <w:t>IV</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u w:val="single"/>
        </w:rPr>
        <w:t>类水质标准；氨氮超过了</w:t>
      </w:r>
      <w:r>
        <w:rPr>
          <w:rFonts w:hint="default" w:ascii="Times New Roman" w:hAnsi="Times New Roman" w:cs="Times New Roman"/>
          <w:sz w:val="24"/>
          <w:szCs w:val="24"/>
          <w:u w:val="single"/>
        </w:rPr>
        <w:fldChar w:fldCharType="begin"/>
      </w:r>
      <w:r>
        <w:rPr>
          <w:rFonts w:hint="default" w:ascii="Times New Roman" w:hAnsi="Times New Roman" w:cs="Times New Roman"/>
          <w:sz w:val="24"/>
          <w:szCs w:val="24"/>
          <w:u w:val="single"/>
        </w:rPr>
        <w:instrText xml:space="preserve">=5\*ROMAN</w:instrText>
      </w:r>
      <w:r>
        <w:rPr>
          <w:rFonts w:hint="default" w:ascii="Times New Roman" w:hAnsi="Times New Roman" w:cs="Times New Roman"/>
          <w:sz w:val="24"/>
          <w:szCs w:val="24"/>
          <w:u w:val="single"/>
        </w:rPr>
        <w:fldChar w:fldCharType="separate"/>
      </w:r>
      <w:r>
        <w:rPr>
          <w:rFonts w:hint="default" w:ascii="Times New Roman" w:hAnsi="Times New Roman" w:cs="Times New Roman"/>
          <w:sz w:val="24"/>
          <w:szCs w:val="24"/>
          <w:u w:val="single"/>
        </w:rPr>
        <w:t>V</w:t>
      </w:r>
      <w:r>
        <w:rPr>
          <w:rFonts w:hint="default" w:ascii="Times New Roman" w:hAnsi="Times New Roman" w:cs="Times New Roman"/>
          <w:sz w:val="24"/>
          <w:szCs w:val="24"/>
          <w:u w:val="single"/>
        </w:rPr>
        <w:fldChar w:fldCharType="end"/>
      </w:r>
      <w:r>
        <w:rPr>
          <w:rFonts w:hint="default" w:ascii="Times New Roman" w:hAnsi="Times New Roman" w:cs="Times New Roman"/>
          <w:sz w:val="24"/>
          <w:szCs w:val="24"/>
          <w:u w:val="single"/>
        </w:rPr>
        <w:t>类水质标准。</w:t>
      </w:r>
      <w:r>
        <w:rPr>
          <w:rFonts w:hint="eastAsia" w:ascii="Times New Roman" w:hAnsi="Times New Roman" w:cs="Times New Roman"/>
          <w:sz w:val="24"/>
          <w:szCs w:val="24"/>
          <w:u w:val="single"/>
          <w:lang w:eastAsia="zh-CN"/>
        </w:rPr>
        <w:t>为确定超标指标是由该地区浅层地下水原生背景相符，而非生产生活造成的污染，选取了</w:t>
      </w:r>
      <w:r>
        <w:rPr>
          <w:rFonts w:hint="eastAsia" w:ascii="Times New Roman" w:hAnsi="Times New Roman" w:cs="Times New Roman"/>
          <w:sz w:val="24"/>
          <w:szCs w:val="24"/>
          <w:u w:val="single"/>
          <w:lang w:val="en-US" w:eastAsia="zh-CN"/>
        </w:rPr>
        <w:t>2019年12月10日对新乡市牧野区定国村地下水检测报告，对比情况见表19。经对比后可确定</w:t>
      </w:r>
      <w:r>
        <w:rPr>
          <w:rFonts w:hint="default" w:ascii="Times New Roman" w:hAnsi="Times New Roman" w:cs="Times New Roman"/>
          <w:sz w:val="24"/>
          <w:szCs w:val="24"/>
          <w:u w:val="single"/>
        </w:rPr>
        <w:t>总硬度含量较高与该区的浅层地下水原生背景相符，氨氮含量过高可能是受地面农业灌溉导致的水体富营养化。</w:t>
      </w:r>
      <w:r>
        <w:rPr>
          <w:rFonts w:hint="default" w:ascii="Times New Roman" w:hAnsi="Times New Roman" w:cs="Times New Roman"/>
          <w:sz w:val="24"/>
          <w:szCs w:val="24"/>
        </w:rPr>
        <w:t>详见表1</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w:t>
      </w:r>
    </w:p>
    <w:p>
      <w:pPr>
        <w:widowControl/>
        <w:spacing w:line="360" w:lineRule="auto"/>
        <w:ind w:firstLine="2891" w:firstLineChars="1200"/>
        <w:jc w:val="both"/>
        <w:rPr>
          <w:rFonts w:hint="default" w:ascii="Times New Roman" w:hAnsi="Times New Roman" w:cs="Times New Roman"/>
          <w:b/>
          <w:bCs/>
          <w:sz w:val="24"/>
          <w:szCs w:val="24"/>
        </w:rPr>
      </w:pPr>
      <w:r>
        <w:rPr>
          <w:rFonts w:hint="default" w:ascii="Times New Roman" w:hAnsi="Times New Roman" w:cs="Times New Roman"/>
          <w:b/>
          <w:bCs/>
          <w:sz w:val="24"/>
          <w:szCs w:val="24"/>
        </w:rPr>
        <w:t>表1</w:t>
      </w:r>
      <w:r>
        <w:rPr>
          <w:rFonts w:hint="eastAsia" w:ascii="Times New Roman" w:hAnsi="Times New Roman" w:cs="Times New Roman"/>
          <w:b/>
          <w:bCs/>
          <w:sz w:val="24"/>
          <w:szCs w:val="24"/>
          <w:lang w:val="en-US" w:eastAsia="zh-CN"/>
        </w:rPr>
        <w:t xml:space="preserve">8   </w:t>
      </w:r>
      <w:r>
        <w:rPr>
          <w:rFonts w:hint="default" w:ascii="Times New Roman" w:hAnsi="Times New Roman" w:cs="Times New Roman"/>
          <w:b/>
          <w:bCs/>
          <w:sz w:val="24"/>
          <w:szCs w:val="24"/>
        </w:rPr>
        <w:t>地下水检测结果分析表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835"/>
        <w:gridCol w:w="1159"/>
        <w:gridCol w:w="1567"/>
        <w:gridCol w:w="1000"/>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75" w:type="dxa"/>
            <w:noWrap/>
            <w:vAlign w:val="center"/>
          </w:tcPr>
          <w:p>
            <w:pPr>
              <w:rPr>
                <w:rFonts w:hint="default" w:ascii="Times New Roman" w:hAnsi="Times New Roman" w:cs="Times New Roman"/>
              </w:rPr>
            </w:pPr>
            <w:r>
              <w:rPr>
                <w:rFonts w:hint="default" w:ascii="Times New Roman" w:hAnsi="Times New Roman" w:cs="Times New Roman"/>
              </w:rPr>
              <w:t>序号</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测试项目</w:t>
            </w:r>
          </w:p>
        </w:tc>
        <w:tc>
          <w:tcPr>
            <w:tcW w:w="1159" w:type="dxa"/>
            <w:noWrap/>
            <w:vAlign w:val="center"/>
          </w:tcPr>
          <w:p>
            <w:pPr>
              <w:jc w:val="left"/>
              <w:rPr>
                <w:rFonts w:hint="default" w:ascii="Times New Roman" w:hAnsi="Times New Roman" w:cs="Times New Roman"/>
              </w:rPr>
            </w:pPr>
            <w:r>
              <w:rPr>
                <w:rFonts w:hint="default" w:ascii="Times New Roman" w:hAnsi="Times New Roman" w:cs="Times New Roman"/>
              </w:rPr>
              <w:t>检测值（平均）</w:t>
            </w:r>
          </w:p>
        </w:tc>
        <w:tc>
          <w:tcPr>
            <w:tcW w:w="1567" w:type="dxa"/>
            <w:noWrap/>
            <w:vAlign w:val="center"/>
          </w:tcPr>
          <w:p>
            <w:pPr>
              <w:rPr>
                <w:rFonts w:hint="default" w:ascii="Times New Roman" w:hAnsi="Times New Roman" w:cs="Times New Roman"/>
              </w:rPr>
            </w:pPr>
            <w:r>
              <w:rPr>
                <w:rFonts w:hint="default" w:ascii="Times New Roman" w:hAnsi="Times New Roman" w:cs="Times New Roman"/>
              </w:rPr>
              <w:t>地下水Ⅲ类标准</w:t>
            </w:r>
          </w:p>
        </w:tc>
        <w:tc>
          <w:tcPr>
            <w:tcW w:w="1000" w:type="dxa"/>
            <w:noWrap/>
            <w:vAlign w:val="center"/>
          </w:tcPr>
          <w:p>
            <w:pPr>
              <w:rPr>
                <w:rFonts w:hint="default" w:ascii="Times New Roman" w:hAnsi="Times New Roman" w:cs="Times New Roman"/>
              </w:rPr>
            </w:pPr>
            <w:r>
              <w:rPr>
                <w:rFonts w:hint="default" w:ascii="Times New Roman" w:hAnsi="Times New Roman" w:cs="Times New Roman"/>
              </w:rPr>
              <w:t>评价结果</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pH</w:t>
            </w:r>
          </w:p>
        </w:tc>
        <w:tc>
          <w:tcPr>
            <w:tcW w:w="1159" w:type="dxa"/>
            <w:noWrap/>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rPr>
              <w:t>7.</w:t>
            </w:r>
            <w:r>
              <w:rPr>
                <w:rFonts w:hint="eastAsia" w:ascii="Times New Roman" w:hAnsi="Times New Roman" w:cs="Times New Roman"/>
                <w:lang w:val="en-US" w:eastAsia="zh-CN"/>
              </w:rPr>
              <w:t>68</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6.5≤pH≤8.5</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色度</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臭和味</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无</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无</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4</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肉眼可见物</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无</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无</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5</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浑浊度</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≤3</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6</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总硬度（以CaCO</w:t>
            </w:r>
            <w:r>
              <w:rPr>
                <w:rFonts w:hint="default" w:ascii="Times New Roman" w:hAnsi="Times New Roman" w:cs="Times New Roman"/>
                <w:vertAlign w:val="subscript"/>
              </w:rPr>
              <w:t>3</w:t>
            </w:r>
            <w:r>
              <w:rPr>
                <w:rFonts w:hint="default" w:ascii="Times New Roman" w:hAnsi="Times New Roman" w:cs="Times New Roman"/>
              </w:rPr>
              <w:t>计/(mg/L)）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968</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≤450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超标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=5\*ROMAN</w:instrText>
            </w:r>
            <w:r>
              <w:rPr>
                <w:rFonts w:hint="default" w:ascii="Times New Roman" w:hAnsi="Times New Roman" w:cs="Times New Roman"/>
              </w:rPr>
              <w:fldChar w:fldCharType="separate"/>
            </w:r>
            <w:r>
              <w:rPr>
                <w:rFonts w:hint="default" w:ascii="Times New Roman" w:hAnsi="Times New Roman" w:cs="Times New Roman"/>
              </w:rPr>
              <w:t>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溶解性总固体/(mg/L)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2623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≤1000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超标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=5\*ROMAN</w:instrText>
            </w:r>
            <w:r>
              <w:rPr>
                <w:rFonts w:hint="default" w:ascii="Times New Roman" w:hAnsi="Times New Roman" w:cs="Times New Roman"/>
              </w:rPr>
              <w:fldChar w:fldCharType="separate"/>
            </w:r>
            <w:r>
              <w:rPr>
                <w:rFonts w:hint="default" w:ascii="Times New Roman" w:hAnsi="Times New Roman" w:cs="Times New Roman"/>
              </w:rPr>
              <w:t>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8</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硫酸盐/(mg/L)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808</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≤250</w:t>
            </w:r>
          </w:p>
        </w:tc>
        <w:tc>
          <w:tcPr>
            <w:tcW w:w="1000" w:type="dxa"/>
            <w:noWrap/>
            <w:vAlign w:val="center"/>
          </w:tcPr>
          <w:p>
            <w:pPr>
              <w:jc w:val="center"/>
              <w:rPr>
                <w:rFonts w:hint="eastAsia" w:ascii="Times New Roman" w:hAnsi="Times New Roman" w:eastAsia="宋体" w:cs="Times New Roman"/>
                <w:lang w:eastAsia="zh-CN"/>
              </w:rPr>
            </w:pPr>
            <w:r>
              <w:rPr>
                <w:rFonts w:hint="eastAsia" w:ascii="Times New Roman" w:hAnsi="Times New Roman" w:cs="Times New Roman"/>
                <w:lang w:val="en-US" w:eastAsia="zh-CN"/>
              </w:rPr>
              <w:t>超标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=5\*ROMAN</w:instrText>
            </w:r>
            <w:r>
              <w:rPr>
                <w:rFonts w:hint="default" w:ascii="Times New Roman" w:hAnsi="Times New Roman" w:cs="Times New Roman"/>
              </w:rPr>
              <w:fldChar w:fldCharType="separate"/>
            </w:r>
            <w:r>
              <w:rPr>
                <w:rFonts w:hint="default" w:ascii="Times New Roman" w:hAnsi="Times New Roman" w:cs="Times New Roman"/>
              </w:rPr>
              <w:t>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9</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氯化物/(mg/L)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465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≤250</w:t>
            </w:r>
          </w:p>
        </w:tc>
        <w:tc>
          <w:tcPr>
            <w:tcW w:w="1000" w:type="dxa"/>
            <w:noWrap/>
            <w:vAlign w:val="center"/>
          </w:tcPr>
          <w:p>
            <w:pPr>
              <w:jc w:val="center"/>
              <w:rPr>
                <w:rFonts w:hint="default" w:ascii="Times New Roman" w:hAnsi="Times New Roman" w:cs="Times New Roman"/>
              </w:rPr>
            </w:pPr>
            <w:r>
              <w:rPr>
                <w:rFonts w:hint="eastAsia" w:ascii="Times New Roman" w:hAnsi="Times New Roman" w:cs="Times New Roman"/>
                <w:lang w:val="en-US" w:eastAsia="zh-CN"/>
              </w:rPr>
              <w:t>超</w:t>
            </w:r>
            <w:r>
              <w:rPr>
                <w:rFonts w:hint="default" w:ascii="Times New Roman" w:hAnsi="Times New Roman" w:cs="Times New Roman"/>
              </w:rPr>
              <w:t>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=5\*ROMAN</w:instrText>
            </w:r>
            <w:r>
              <w:rPr>
                <w:rFonts w:hint="default" w:ascii="Times New Roman" w:hAnsi="Times New Roman" w:cs="Times New Roman"/>
              </w:rPr>
              <w:fldChar w:fldCharType="separate"/>
            </w:r>
            <w:r>
              <w:rPr>
                <w:rFonts w:hint="default" w:ascii="Times New Roman" w:hAnsi="Times New Roman" w:cs="Times New Roman"/>
              </w:rPr>
              <w:t>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铁/(mg/L)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≤0.30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11</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锰/(mg/L)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0.08</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≤0.10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12</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铜/(mg/L)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1×10</w:t>
            </w:r>
            <w:r>
              <w:rPr>
                <w:rFonts w:hint="default" w:ascii="Times New Roman" w:hAnsi="Times New Roman" w:cs="Times New Roman"/>
                <w:vertAlign w:val="superscript"/>
              </w:rPr>
              <w:t>-3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13</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锌/(mg/L)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铝/(mg/L)</w:t>
            </w:r>
          </w:p>
        </w:tc>
        <w:tc>
          <w:tcPr>
            <w:tcW w:w="1159" w:type="dxa"/>
            <w:noWrap/>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rPr>
              <w:t>0.</w:t>
            </w:r>
            <w:r>
              <w:rPr>
                <w:rFonts w:hint="eastAsia" w:ascii="Times New Roman" w:hAnsi="Times New Roman" w:cs="Times New Roman"/>
                <w:lang w:val="en-US" w:eastAsia="zh-CN"/>
              </w:rPr>
              <w:t>521</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≤0.20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超标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=5\*ROMAN</w:instrText>
            </w:r>
            <w:r>
              <w:rPr>
                <w:rFonts w:hint="default" w:ascii="Times New Roman" w:hAnsi="Times New Roman" w:cs="Times New Roman"/>
              </w:rPr>
              <w:fldChar w:fldCharType="separate"/>
            </w:r>
            <w:r>
              <w:rPr>
                <w:rFonts w:hint="default" w:ascii="Times New Roman" w:hAnsi="Times New Roman" w:cs="Times New Roman"/>
              </w:rPr>
              <w:t>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挥发性酚类/(mg/L)</w:t>
            </w:r>
          </w:p>
        </w:tc>
        <w:tc>
          <w:tcPr>
            <w:tcW w:w="1159" w:type="dxa"/>
            <w:noWrap/>
            <w:vAlign w:val="center"/>
          </w:tcPr>
          <w:p>
            <w:pPr>
              <w:jc w:val="center"/>
              <w:rPr>
                <w:rFonts w:hint="eastAsia" w:ascii="Times New Roman" w:hAnsi="Times New Roman" w:eastAsia="宋体" w:cs="Times New Roman"/>
                <w:lang w:val="en-US" w:eastAsia="zh-CN"/>
              </w:rPr>
            </w:pPr>
            <w:r>
              <w:rPr>
                <w:rFonts w:hint="default" w:ascii="Times New Roman" w:hAnsi="Times New Roman" w:cs="Times New Roman"/>
              </w:rPr>
              <w:t>0.000</w:t>
            </w:r>
            <w:r>
              <w:rPr>
                <w:rFonts w:hint="eastAsia" w:ascii="Times New Roman" w:hAnsi="Times New Roman" w:cs="Times New Roman"/>
                <w:lang w:val="en-US" w:eastAsia="zh-CN"/>
              </w:rPr>
              <w:t>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≤0.002</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16</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阴离子表面活性剂/(mg/L)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≤0.3</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17</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耗氧量/(mg/L)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18</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氨氮/(mg/L)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0.642</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≤0.50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超标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=4\*ROMAN</w:instrText>
            </w:r>
            <w:r>
              <w:rPr>
                <w:rFonts w:hint="default" w:ascii="Times New Roman" w:hAnsi="Times New Roman" w:cs="Times New Roman"/>
              </w:rPr>
              <w:fldChar w:fldCharType="separate"/>
            </w:r>
            <w:r>
              <w:rPr>
                <w:rFonts w:hint="default" w:ascii="Times New Roman" w:hAnsi="Times New Roman" w:cs="Times New Roman"/>
              </w:rPr>
              <w:t>IV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19</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硫化物/(mg/L)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0.005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≤0.02</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钠/(mg/L)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423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≤200</w:t>
            </w:r>
          </w:p>
        </w:tc>
        <w:tc>
          <w:tcPr>
            <w:tcW w:w="1000" w:type="dxa"/>
            <w:noWrap/>
            <w:vAlign w:val="center"/>
          </w:tcPr>
          <w:p>
            <w:pPr>
              <w:jc w:val="center"/>
              <w:rPr>
                <w:rFonts w:hint="default" w:ascii="Times New Roman" w:hAnsi="Times New Roman" w:cs="Times New Roman"/>
              </w:rPr>
            </w:pPr>
            <w:r>
              <w:rPr>
                <w:rFonts w:hint="eastAsia" w:ascii="Times New Roman" w:hAnsi="Times New Roman" w:cs="Times New Roman"/>
                <w:lang w:val="en-US" w:eastAsia="zh-CN"/>
              </w:rPr>
              <w:t>超</w:t>
            </w:r>
            <w:r>
              <w:rPr>
                <w:rFonts w:hint="default" w:ascii="Times New Roman" w:hAnsi="Times New Roman" w:cs="Times New Roman"/>
              </w:rPr>
              <w:t>标</w:t>
            </w:r>
          </w:p>
        </w:tc>
        <w:tc>
          <w:tcPr>
            <w:tcW w:w="1144" w:type="dxa"/>
            <w:noWrap/>
            <w:vAlign w:val="center"/>
          </w:tcPr>
          <w:p>
            <w:pPr>
              <w:rPr>
                <w:rFonts w:hint="default" w:ascii="Times New Roman" w:hAnsi="Times New Roman" w:cs="Times New Roman"/>
              </w:rPr>
            </w:pPr>
            <w:r>
              <w:rPr>
                <w:rFonts w:hint="default" w:ascii="Times New Roman" w:hAnsi="Times New Roman" w:cs="Times New Roman"/>
              </w:rPr>
              <w:t>达到</w:t>
            </w:r>
            <w:r>
              <w:rPr>
                <w:rFonts w:hint="default" w:ascii="Times New Roman" w:hAnsi="Times New Roman" w:cs="Times New Roman"/>
              </w:rPr>
              <w:fldChar w:fldCharType="begin"/>
            </w:r>
            <w:r>
              <w:rPr>
                <w:rFonts w:hint="default" w:ascii="Times New Roman" w:hAnsi="Times New Roman" w:cs="Times New Roman"/>
              </w:rPr>
              <w:instrText xml:space="preserve">=5\*ROMAN</w:instrText>
            </w:r>
            <w:r>
              <w:rPr>
                <w:rFonts w:hint="default" w:ascii="Times New Roman" w:hAnsi="Times New Roman" w:cs="Times New Roman"/>
              </w:rPr>
              <w:fldChar w:fldCharType="separate"/>
            </w:r>
            <w:r>
              <w:rPr>
                <w:rFonts w:hint="default" w:ascii="Times New Roman" w:hAnsi="Times New Roman" w:cs="Times New Roman"/>
              </w:rPr>
              <w:t>V</w:t>
            </w:r>
            <w:r>
              <w:rPr>
                <w:rFonts w:hint="default" w:ascii="Times New Roman" w:hAnsi="Times New Roman" w:cs="Times New Roman"/>
              </w:rPr>
              <w:fldChar w:fldCharType="end"/>
            </w:r>
            <w:r>
              <w:rPr>
                <w:rFonts w:hint="default" w:ascii="Times New Roman" w:hAnsi="Times New Roman" w:cs="Times New Roman"/>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21</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亚硝酸盐/(mg/L)</w:t>
            </w:r>
          </w:p>
        </w:tc>
        <w:tc>
          <w:tcPr>
            <w:tcW w:w="1159" w:type="dxa"/>
            <w:noWrap/>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rPr>
              <w:t>0.0</w:t>
            </w:r>
            <w:r>
              <w:rPr>
                <w:rFonts w:hint="eastAsia" w:ascii="Times New Roman" w:hAnsi="Times New Roman" w:cs="Times New Roman"/>
                <w:lang w:val="en-US" w:eastAsia="zh-CN"/>
              </w:rPr>
              <w:t>113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22</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氰化物/(mg/L)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0.004</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23</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氟化物/(mg/L)</w:t>
            </w:r>
          </w:p>
        </w:tc>
        <w:tc>
          <w:tcPr>
            <w:tcW w:w="1159" w:type="dxa"/>
            <w:noWrap/>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rPr>
              <w:t>0.</w:t>
            </w:r>
            <w:r>
              <w:rPr>
                <w:rFonts w:hint="eastAsia" w:ascii="Times New Roman" w:hAnsi="Times New Roman" w:cs="Times New Roman"/>
                <w:lang w:val="en-US" w:eastAsia="zh-CN"/>
              </w:rPr>
              <w:t>758</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24</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碘化物/(mg/L)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≤0.08</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25</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汞/(mg/L)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0.04×10</w:t>
            </w:r>
            <w:r>
              <w:rPr>
                <w:rFonts w:hint="default" w:ascii="Times New Roman" w:hAnsi="Times New Roman" w:cs="Times New Roman"/>
                <w:vertAlign w:val="superscript"/>
              </w:rPr>
              <w:t>-3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≤0.001</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26</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砷/(mg/L)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w:t>
            </w:r>
            <w:r>
              <w:rPr>
                <w:rFonts w:hint="eastAsia" w:ascii="Times New Roman" w:hAnsi="Times New Roman" w:cs="Times New Roman"/>
                <w:lang w:val="en-US" w:eastAsia="zh-CN"/>
              </w:rPr>
              <w:t>1</w:t>
            </w:r>
            <w:r>
              <w:rPr>
                <w:rFonts w:hint="default" w:ascii="Times New Roman" w:hAnsi="Times New Roman" w:cs="Times New Roman"/>
              </w:rPr>
              <w:t>7×10</w:t>
            </w:r>
            <w:r>
              <w:rPr>
                <w:rFonts w:hint="default" w:ascii="Times New Roman" w:hAnsi="Times New Roman" w:cs="Times New Roman"/>
                <w:vertAlign w:val="superscript"/>
              </w:rPr>
              <w:t>-3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27</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硒/(mg/L)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0.4×10</w:t>
            </w:r>
            <w:r>
              <w:rPr>
                <w:rFonts w:hint="default" w:ascii="Times New Roman" w:hAnsi="Times New Roman" w:cs="Times New Roman"/>
                <w:vertAlign w:val="superscript"/>
              </w:rPr>
              <w:t>-3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28</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镉/(mg/L)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0.1×10</w:t>
            </w:r>
            <w:r>
              <w:rPr>
                <w:rFonts w:hint="default" w:ascii="Times New Roman" w:hAnsi="Times New Roman" w:cs="Times New Roman"/>
                <w:vertAlign w:val="superscript"/>
              </w:rPr>
              <w:t>-3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≤0.005</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29</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铬（六价）/(mg/L)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0.004</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铅/(mg/L)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1×10</w:t>
            </w:r>
            <w:r>
              <w:rPr>
                <w:rFonts w:hint="default" w:ascii="Times New Roman" w:hAnsi="Times New Roman" w:cs="Times New Roman"/>
                <w:vertAlign w:val="superscript"/>
              </w:rPr>
              <w:t>-3</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≤0.01</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31</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三氯甲烷/(μg/L)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≤60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32</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四氯化碳/(μg/L)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≤2</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33</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苯/(μg/L)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34</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甲苯/(μg/L)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1.4</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≤7</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35</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总大肠菌群，MPN/100mL</w:t>
            </w:r>
          </w:p>
        </w:tc>
        <w:tc>
          <w:tcPr>
            <w:tcW w:w="1159" w:type="dxa"/>
            <w:noWrap/>
            <w:vAlign w:val="center"/>
          </w:tcPr>
          <w:p>
            <w:pPr>
              <w:jc w:val="center"/>
              <w:rPr>
                <w:rFonts w:hint="default" w:ascii="Times New Roman" w:hAnsi="Times New Roman" w:cs="Times New Roman"/>
              </w:rPr>
            </w:pPr>
            <w:r>
              <w:rPr>
                <w:rFonts w:hint="default" w:ascii="Times New Roman" w:hAnsi="Times New Roman" w:cs="Times New Roman"/>
              </w:rPr>
              <w:t>未检出</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36</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菌落总数，CFU/mL</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55</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≤100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ign w:val="center"/>
          </w:tcPr>
          <w:p>
            <w:pPr>
              <w:jc w:val="center"/>
              <w:rPr>
                <w:rFonts w:hint="default" w:ascii="Times New Roman" w:hAnsi="Times New Roman" w:cs="Times New Roman"/>
              </w:rPr>
            </w:pPr>
            <w:r>
              <w:rPr>
                <w:rFonts w:hint="default" w:ascii="Times New Roman" w:hAnsi="Times New Roman" w:cs="Times New Roman"/>
              </w:rPr>
              <w:t>37</w:t>
            </w:r>
          </w:p>
        </w:tc>
        <w:tc>
          <w:tcPr>
            <w:tcW w:w="2835" w:type="dxa"/>
            <w:noWrap/>
            <w:vAlign w:val="center"/>
          </w:tcPr>
          <w:p>
            <w:pPr>
              <w:jc w:val="center"/>
              <w:rPr>
                <w:rFonts w:hint="default" w:ascii="Times New Roman" w:hAnsi="Times New Roman" w:cs="Times New Roman"/>
              </w:rPr>
            </w:pPr>
            <w:r>
              <w:rPr>
                <w:rFonts w:hint="default" w:ascii="Times New Roman" w:hAnsi="Times New Roman" w:cs="Times New Roman"/>
              </w:rPr>
              <w:t>硝酸盐</w:t>
            </w:r>
          </w:p>
        </w:tc>
        <w:tc>
          <w:tcPr>
            <w:tcW w:w="1159"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5.39</w:t>
            </w:r>
          </w:p>
        </w:tc>
        <w:tc>
          <w:tcPr>
            <w:tcW w:w="1567" w:type="dxa"/>
            <w:noWrap/>
            <w:vAlign w:val="center"/>
          </w:tcPr>
          <w:p>
            <w:pPr>
              <w:jc w:val="center"/>
              <w:rPr>
                <w:rFonts w:hint="default" w:ascii="Times New Roman" w:hAnsi="Times New Roman" w:cs="Times New Roman"/>
              </w:rPr>
            </w:pPr>
            <w:r>
              <w:rPr>
                <w:rFonts w:hint="default" w:ascii="Times New Roman" w:hAnsi="Times New Roman" w:cs="Times New Roman"/>
              </w:rPr>
              <w:t>≤20</w:t>
            </w:r>
          </w:p>
        </w:tc>
        <w:tc>
          <w:tcPr>
            <w:tcW w:w="1000" w:type="dxa"/>
            <w:noWrap/>
            <w:vAlign w:val="center"/>
          </w:tcPr>
          <w:p>
            <w:pPr>
              <w:jc w:val="center"/>
              <w:rPr>
                <w:rFonts w:hint="default" w:ascii="Times New Roman" w:hAnsi="Times New Roman" w:cs="Times New Roman"/>
              </w:rPr>
            </w:pPr>
            <w:r>
              <w:rPr>
                <w:rFonts w:hint="default" w:ascii="Times New Roman" w:hAnsi="Times New Roman" w:cs="Times New Roman"/>
              </w:rPr>
              <w:t>达标</w:t>
            </w:r>
          </w:p>
        </w:tc>
        <w:tc>
          <w:tcPr>
            <w:tcW w:w="1144" w:type="dxa"/>
            <w:noWrap/>
            <w:vAlign w:val="center"/>
          </w:tcPr>
          <w:p>
            <w:pPr>
              <w:rPr>
                <w:rFonts w:hint="default" w:ascii="Times New Roman" w:hAnsi="Times New Roman" w:cs="Times New Roman"/>
              </w:rPr>
            </w:pPr>
          </w:p>
        </w:tc>
      </w:tr>
    </w:tbl>
    <w:p>
      <w:pPr>
        <w:spacing w:beforeLines="50" w:afterLines="50"/>
        <w:ind w:firstLine="482"/>
        <w:jc w:val="center"/>
        <w:outlineLvl w:val="0"/>
        <w:rPr>
          <w:rFonts w:hint="default" w:ascii="Times New Roman" w:hAnsi="Times New Roman" w:cs="Times New Roman"/>
          <w:b/>
          <w:color w:val="000000"/>
          <w:sz w:val="24"/>
          <w:szCs w:val="24"/>
        </w:rPr>
      </w:pPr>
      <w:bookmarkStart w:id="486" w:name="_Toc9523"/>
      <w:bookmarkStart w:id="487" w:name="_Toc25673298"/>
      <w:bookmarkStart w:id="488" w:name="_Toc31761"/>
      <w:bookmarkStart w:id="489" w:name="_Toc12574"/>
      <w:r>
        <w:rPr>
          <w:rFonts w:hint="default" w:ascii="Times New Roman" w:hAnsi="Times New Roman" w:cs="Times New Roman"/>
          <w:b/>
          <w:color w:val="000000"/>
          <w:sz w:val="24"/>
          <w:szCs w:val="24"/>
        </w:rPr>
        <w:t>表1</w:t>
      </w:r>
      <w:r>
        <w:rPr>
          <w:rFonts w:hint="eastAsia" w:ascii="Times New Roman" w:hAnsi="Times New Roman" w:cs="Times New Roman"/>
          <w:b/>
          <w:color w:val="000000"/>
          <w:sz w:val="24"/>
          <w:szCs w:val="24"/>
          <w:lang w:val="en-US" w:eastAsia="zh-CN"/>
        </w:rPr>
        <w:t>9</w:t>
      </w:r>
      <w:r>
        <w:rPr>
          <w:rFonts w:hint="default" w:ascii="Times New Roman" w:hAnsi="Times New Roman" w:cs="Times New Roman"/>
          <w:b/>
          <w:color w:val="000000"/>
          <w:sz w:val="24"/>
          <w:szCs w:val="24"/>
          <w:lang w:val="en-US" w:eastAsia="zh-CN"/>
        </w:rPr>
        <w:t xml:space="preserve">   </w:t>
      </w:r>
      <w:r>
        <w:rPr>
          <w:rFonts w:hint="default" w:ascii="Times New Roman" w:hAnsi="Times New Roman" w:cs="Times New Roman"/>
          <w:b/>
          <w:color w:val="000000"/>
          <w:sz w:val="24"/>
          <w:szCs w:val="24"/>
        </w:rPr>
        <w:t>地下水检测结果</w:t>
      </w:r>
      <w:r>
        <w:rPr>
          <w:rFonts w:hint="eastAsia" w:ascii="Times New Roman" w:hAnsi="Times New Roman" w:cs="Times New Roman"/>
          <w:b/>
          <w:color w:val="000000"/>
          <w:sz w:val="24"/>
          <w:szCs w:val="24"/>
          <w:lang w:eastAsia="zh-CN"/>
        </w:rPr>
        <w:t>对比</w:t>
      </w:r>
      <w:r>
        <w:rPr>
          <w:rFonts w:hint="default" w:ascii="Times New Roman" w:hAnsi="Times New Roman" w:cs="Times New Roman"/>
          <w:b/>
          <w:color w:val="000000"/>
          <w:sz w:val="24"/>
          <w:szCs w:val="24"/>
        </w:rPr>
        <w:t>表</w:t>
      </w:r>
      <w:bookmarkEnd w:id="486"/>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3034"/>
        <w:gridCol w:w="1466"/>
        <w:gridCol w:w="1552"/>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76" w:type="dxa"/>
            <w:noWrap/>
            <w:vAlign w:val="center"/>
          </w:tcPr>
          <w:p>
            <w:pPr>
              <w:jc w:val="center"/>
              <w:rPr>
                <w:rFonts w:hint="default" w:ascii="Times New Roman" w:hAnsi="Times New Roman" w:cs="Times New Roman"/>
              </w:rPr>
            </w:pPr>
            <w:r>
              <w:rPr>
                <w:rFonts w:hint="default" w:ascii="Times New Roman" w:hAnsi="Times New Roman" w:cs="Times New Roman"/>
              </w:rPr>
              <w:t>序号</w:t>
            </w:r>
          </w:p>
        </w:tc>
        <w:tc>
          <w:tcPr>
            <w:tcW w:w="3034" w:type="dxa"/>
            <w:noWrap/>
            <w:vAlign w:val="center"/>
          </w:tcPr>
          <w:p>
            <w:pPr>
              <w:jc w:val="center"/>
              <w:rPr>
                <w:rFonts w:hint="default" w:ascii="Times New Roman" w:hAnsi="Times New Roman" w:cs="Times New Roman"/>
              </w:rPr>
            </w:pPr>
            <w:r>
              <w:rPr>
                <w:rFonts w:hint="default" w:ascii="Times New Roman" w:hAnsi="Times New Roman" w:cs="Times New Roman"/>
              </w:rPr>
              <w:t>测试项目</w:t>
            </w:r>
          </w:p>
        </w:tc>
        <w:tc>
          <w:tcPr>
            <w:tcW w:w="1466" w:type="dxa"/>
            <w:noWrap/>
            <w:vAlign w:val="center"/>
          </w:tcPr>
          <w:p>
            <w:pPr>
              <w:rPr>
                <w:rFonts w:hint="default" w:ascii="Times New Roman" w:hAnsi="Times New Roman" w:cs="Times New Roman"/>
              </w:rPr>
            </w:pPr>
            <w:r>
              <w:rPr>
                <w:rFonts w:hint="eastAsia" w:ascii="Times New Roman" w:hAnsi="Times New Roman" w:cs="Times New Roman"/>
                <w:lang w:eastAsia="zh-CN"/>
              </w:rPr>
              <w:t>经贸学院地下水</w:t>
            </w:r>
            <w:r>
              <w:rPr>
                <w:rFonts w:hint="default" w:ascii="Times New Roman" w:hAnsi="Times New Roman" w:cs="Times New Roman"/>
              </w:rPr>
              <w:t>检测值</w:t>
            </w:r>
          </w:p>
        </w:tc>
        <w:tc>
          <w:tcPr>
            <w:tcW w:w="1552" w:type="dxa"/>
            <w:noWrap/>
            <w:vAlign w:val="center"/>
          </w:tcPr>
          <w:p>
            <w:pPr>
              <w:rPr>
                <w:rFonts w:hint="eastAsia" w:ascii="Times New Roman" w:hAnsi="Times New Roman" w:eastAsia="宋体" w:cs="Times New Roman"/>
                <w:lang w:eastAsia="zh-CN"/>
              </w:rPr>
            </w:pPr>
            <w:r>
              <w:rPr>
                <w:rFonts w:hint="eastAsia" w:ascii="Times New Roman" w:hAnsi="Times New Roman" w:cs="Times New Roman"/>
                <w:lang w:eastAsia="zh-CN"/>
              </w:rPr>
              <w:t>定国村地下水检测值</w:t>
            </w:r>
          </w:p>
        </w:tc>
        <w:tc>
          <w:tcPr>
            <w:tcW w:w="1828" w:type="dxa"/>
            <w:noWrap/>
            <w:vAlign w:val="center"/>
          </w:tcPr>
          <w:p>
            <w:pPr>
              <w:rPr>
                <w:rFonts w:hint="default" w:ascii="Times New Roman" w:hAnsi="Times New Roman" w:cs="Times New Roman"/>
              </w:rPr>
            </w:pPr>
            <w:r>
              <w:rPr>
                <w:rFonts w:hint="default" w:ascii="Times New Roman" w:hAnsi="Times New Roman" w:cs="Times New Roman"/>
              </w:rPr>
              <w:t>地下水Ⅲ类标准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pH</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rPr>
              <w:t>7.</w:t>
            </w:r>
            <w:r>
              <w:rPr>
                <w:rFonts w:hint="default" w:ascii="Times New Roman" w:hAnsi="Times New Roman" w:cs="Times New Roman"/>
                <w:highlight w:val="none"/>
                <w:lang w:val="en-US" w:eastAsia="zh-CN"/>
              </w:rPr>
              <w:t>68</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7.99</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6.5≤pH≤8.5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色度</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5</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5</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臭和味</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无</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无</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4</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肉眼可见物</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无</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无</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5</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浑浊度</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0.3</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0.5</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6</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总硬度（以CaCO3计/(mg/L)）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968</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614</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7</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溶解性总固体/(mg/L)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2623</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1586</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8</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硫酸盐/(mg/L)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808</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396</w:t>
            </w:r>
          </w:p>
        </w:tc>
        <w:tc>
          <w:tcPr>
            <w:tcW w:w="1828" w:type="dxa"/>
            <w:noWrap/>
            <w:vAlign w:val="center"/>
          </w:tcPr>
          <w:p>
            <w:pPr>
              <w:jc w:val="center"/>
              <w:rPr>
                <w:rFonts w:hint="default" w:ascii="Times New Roman" w:hAnsi="Times New Roman" w:cs="Times New Roman"/>
                <w:highlight w:val="none"/>
                <w:lang w:eastAsia="zh-CN"/>
              </w:rPr>
            </w:pPr>
            <w:r>
              <w:rPr>
                <w:rFonts w:hint="default" w:ascii="Times New Roman" w:hAnsi="Times New Roman" w:cs="Times New Roman"/>
                <w:highlight w:val="none"/>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9</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氯化物/(mg/L)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465</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350</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铁/(mg/L)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0.01</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0.01</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11</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锰/(mg/L)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0.08</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0.19</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12</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铜/(mg/L)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1×10</w:t>
            </w:r>
            <w:r>
              <w:rPr>
                <w:rFonts w:hint="default" w:ascii="Times New Roman" w:hAnsi="Times New Roman" w:cs="Times New Roman"/>
                <w:highlight w:val="none"/>
                <w:vertAlign w:val="superscript"/>
              </w:rPr>
              <w:t>-3</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4.05×10</w:t>
            </w:r>
            <w:r>
              <w:rPr>
                <w:rFonts w:hint="eastAsia" w:ascii="Times New Roman" w:hAnsi="Times New Roman" w:cs="Times New Roman"/>
                <w:highlight w:val="none"/>
                <w:vertAlign w:val="superscript"/>
                <w:lang w:val="en-US" w:eastAsia="zh-CN"/>
              </w:rPr>
              <w:t>-3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13</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锌/(mg/L)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0.05</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0.05</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14</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铝/(mg/L)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rPr>
              <w:t>0.</w:t>
            </w:r>
            <w:r>
              <w:rPr>
                <w:rFonts w:hint="default" w:ascii="Times New Roman" w:hAnsi="Times New Roman" w:cs="Times New Roman"/>
                <w:highlight w:val="none"/>
                <w:lang w:val="en-US" w:eastAsia="zh-CN"/>
              </w:rPr>
              <w:t>521</w:t>
            </w:r>
          </w:p>
        </w:tc>
        <w:tc>
          <w:tcPr>
            <w:tcW w:w="1552" w:type="dxa"/>
            <w:noWrap/>
            <w:vAlign w:val="center"/>
          </w:tcPr>
          <w:p>
            <w:pPr>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0.064</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15</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挥发性酚类/(mg/L)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rPr>
              <w:t>0.000</w:t>
            </w:r>
            <w:r>
              <w:rPr>
                <w:rFonts w:hint="default" w:ascii="Times New Roman" w:hAnsi="Times New Roman" w:cs="Times New Roman"/>
                <w:highlight w:val="none"/>
                <w:lang w:val="en-US" w:eastAsia="zh-CN"/>
              </w:rPr>
              <w:t>5</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0.0003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rPr>
            </w:pPr>
            <w:r>
              <w:rPr>
                <w:rFonts w:hint="default" w:ascii="Times New Roman" w:hAnsi="Times New Roman" w:cs="Times New Roman"/>
              </w:rPr>
              <w:t>16</w:t>
            </w:r>
          </w:p>
        </w:tc>
        <w:tc>
          <w:tcPr>
            <w:tcW w:w="3034" w:type="dxa"/>
            <w:noWrap/>
            <w:vAlign w:val="center"/>
          </w:tcPr>
          <w:p>
            <w:pPr>
              <w:jc w:val="center"/>
              <w:rPr>
                <w:rFonts w:hint="default" w:ascii="Times New Roman" w:hAnsi="Times New Roman" w:cs="Times New Roman"/>
              </w:rPr>
            </w:pPr>
            <w:r>
              <w:rPr>
                <w:rFonts w:hint="default" w:ascii="Times New Roman" w:hAnsi="Times New Roman" w:cs="Times New Roman"/>
              </w:rPr>
              <w:t>阴离子表面活性剂/(mg/L)</w:t>
            </w:r>
          </w:p>
        </w:tc>
        <w:tc>
          <w:tcPr>
            <w:tcW w:w="1466" w:type="dxa"/>
            <w:noWrap/>
            <w:vAlign w:val="center"/>
          </w:tcPr>
          <w:p>
            <w:pPr>
              <w:jc w:val="center"/>
              <w:rPr>
                <w:rFonts w:hint="default" w:ascii="Times New Roman" w:hAnsi="Times New Roman" w:cs="Times New Roman"/>
              </w:rPr>
            </w:pPr>
            <w:r>
              <w:rPr>
                <w:rFonts w:hint="default" w:ascii="Times New Roman" w:hAnsi="Times New Roman" w:cs="Times New Roman"/>
              </w:rPr>
              <w:t>0.05</w:t>
            </w:r>
          </w:p>
        </w:tc>
        <w:tc>
          <w:tcPr>
            <w:tcW w:w="1552"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0.05</w:t>
            </w:r>
          </w:p>
        </w:tc>
        <w:tc>
          <w:tcPr>
            <w:tcW w:w="1828" w:type="dxa"/>
            <w:noWrap/>
            <w:vAlign w:val="center"/>
          </w:tcPr>
          <w:p>
            <w:pPr>
              <w:jc w:val="center"/>
              <w:rPr>
                <w:rFonts w:hint="default" w:ascii="Times New Roman" w:hAnsi="Times New Roman" w:cs="Times New Roman"/>
              </w:rPr>
            </w:pPr>
            <w:r>
              <w:rPr>
                <w:rFonts w:hint="default"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rPr>
            </w:pPr>
            <w:r>
              <w:rPr>
                <w:rFonts w:hint="default" w:ascii="Times New Roman" w:hAnsi="Times New Roman" w:cs="Times New Roman"/>
              </w:rPr>
              <w:t>17</w:t>
            </w:r>
          </w:p>
        </w:tc>
        <w:tc>
          <w:tcPr>
            <w:tcW w:w="3034" w:type="dxa"/>
            <w:noWrap/>
            <w:vAlign w:val="center"/>
          </w:tcPr>
          <w:p>
            <w:pPr>
              <w:jc w:val="center"/>
              <w:rPr>
                <w:rFonts w:hint="default" w:ascii="Times New Roman" w:hAnsi="Times New Roman" w:cs="Times New Roman"/>
              </w:rPr>
            </w:pPr>
            <w:r>
              <w:rPr>
                <w:rFonts w:hint="default" w:ascii="Times New Roman" w:hAnsi="Times New Roman" w:cs="Times New Roman"/>
              </w:rPr>
              <w:t>耗氧量/(mg/L)</w:t>
            </w:r>
          </w:p>
        </w:tc>
        <w:tc>
          <w:tcPr>
            <w:tcW w:w="1466" w:type="dxa"/>
            <w:noWrap/>
            <w:vAlign w:val="center"/>
          </w:tcPr>
          <w:p>
            <w:pPr>
              <w:jc w:val="center"/>
              <w:rPr>
                <w:rFonts w:hint="default" w:ascii="Times New Roman" w:hAnsi="Times New Roman" w:cs="Times New Roman"/>
              </w:rPr>
            </w:pPr>
            <w:r>
              <w:rPr>
                <w:rFonts w:hint="default" w:ascii="Times New Roman" w:hAnsi="Times New Roman" w:cs="Times New Roman"/>
              </w:rPr>
              <w:t>0.5</w:t>
            </w:r>
          </w:p>
        </w:tc>
        <w:tc>
          <w:tcPr>
            <w:tcW w:w="1552" w:type="dxa"/>
            <w:noWrap/>
            <w:vAlign w:val="center"/>
          </w:tcPr>
          <w:p>
            <w:pPr>
              <w:jc w:val="center"/>
              <w:rPr>
                <w:rFonts w:hint="default" w:ascii="Times New Roman" w:hAnsi="Times New Roman" w:eastAsia="宋体" w:cs="Times New Roman"/>
                <w:lang w:val="en-US" w:eastAsia="zh-CN"/>
              </w:rPr>
            </w:pPr>
            <w:r>
              <w:rPr>
                <w:rFonts w:hint="eastAsia" w:ascii="Times New Roman" w:hAnsi="Times New Roman" w:cs="Times New Roman"/>
                <w:lang w:val="en-US" w:eastAsia="zh-CN"/>
              </w:rPr>
              <w:t>0.5</w:t>
            </w:r>
          </w:p>
        </w:tc>
        <w:tc>
          <w:tcPr>
            <w:tcW w:w="1828" w:type="dxa"/>
            <w:noWrap/>
            <w:vAlign w:val="center"/>
          </w:tcPr>
          <w:p>
            <w:pPr>
              <w:jc w:val="center"/>
              <w:rPr>
                <w:rFonts w:hint="default" w:ascii="Times New Roman" w:hAnsi="Times New Roman" w:cs="Times New Roman"/>
              </w:rPr>
            </w:pPr>
            <w:r>
              <w:rPr>
                <w:rFonts w:hint="default" w:ascii="Times New Roman" w:hAnsi="Times New Roman" w:cs="Times New Roma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18</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氨氮/(mg/L)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0.642</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0.041</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19</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硫化物/(mg/L)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0.005</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0.005</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20</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钠/(mg/L)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423</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343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21</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亚硝酸盐/(mg/L)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rPr>
              <w:t>0.0</w:t>
            </w:r>
            <w:r>
              <w:rPr>
                <w:rFonts w:hint="default" w:ascii="Times New Roman" w:hAnsi="Times New Roman" w:cs="Times New Roman"/>
                <w:highlight w:val="none"/>
                <w:lang w:val="en-US" w:eastAsia="zh-CN"/>
              </w:rPr>
              <w:t>113</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0.004</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22</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氰化物/(mg/L)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0.004</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0.001</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23</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氟化物/(mg/L)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rPr>
              <w:t>0.</w:t>
            </w:r>
            <w:r>
              <w:rPr>
                <w:rFonts w:hint="default" w:ascii="Times New Roman" w:hAnsi="Times New Roman" w:cs="Times New Roman"/>
                <w:highlight w:val="none"/>
                <w:lang w:val="en-US" w:eastAsia="zh-CN"/>
              </w:rPr>
              <w:t>758</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0.43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24</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碘化物/(mg/L)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0.05</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0.05</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25</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汞/(mg/L)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0.04×10</w:t>
            </w:r>
            <w:r>
              <w:rPr>
                <w:rFonts w:hint="default" w:ascii="Times New Roman" w:hAnsi="Times New Roman" w:cs="Times New Roman"/>
                <w:highlight w:val="none"/>
                <w:vertAlign w:val="superscript"/>
              </w:rPr>
              <w:t>-3</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0.04×10</w:t>
            </w:r>
            <w:r>
              <w:rPr>
                <w:rFonts w:hint="default" w:ascii="Times New Roman" w:hAnsi="Times New Roman" w:cs="Times New Roman"/>
                <w:highlight w:val="none"/>
                <w:vertAlign w:val="superscript"/>
              </w:rPr>
              <w:t>-3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26</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砷/(mg/L)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w:t>
            </w:r>
            <w:r>
              <w:rPr>
                <w:rFonts w:hint="default" w:ascii="Times New Roman" w:hAnsi="Times New Roman" w:cs="Times New Roman"/>
                <w:highlight w:val="none"/>
                <w:lang w:val="en-US" w:eastAsia="zh-CN"/>
              </w:rPr>
              <w:t>1</w:t>
            </w:r>
            <w:r>
              <w:rPr>
                <w:rFonts w:hint="default" w:ascii="Times New Roman" w:hAnsi="Times New Roman" w:cs="Times New Roman"/>
                <w:highlight w:val="none"/>
              </w:rPr>
              <w:t>7×10</w:t>
            </w:r>
            <w:r>
              <w:rPr>
                <w:rFonts w:hint="default" w:ascii="Times New Roman" w:hAnsi="Times New Roman" w:cs="Times New Roman"/>
                <w:highlight w:val="none"/>
                <w:vertAlign w:val="superscript"/>
              </w:rPr>
              <w:t>-3</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1.2</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10</w:t>
            </w:r>
            <w:r>
              <w:rPr>
                <w:rFonts w:hint="default" w:ascii="Times New Roman" w:hAnsi="Times New Roman" w:cs="Times New Roman"/>
                <w:highlight w:val="none"/>
                <w:vertAlign w:val="superscript"/>
                <w:lang w:val="en-US" w:eastAsia="zh-CN"/>
              </w:rPr>
              <w:t>-3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27</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硒/(mg/L)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0.4×10</w:t>
            </w:r>
            <w:r>
              <w:rPr>
                <w:rFonts w:hint="default" w:ascii="Times New Roman" w:hAnsi="Times New Roman" w:cs="Times New Roman"/>
                <w:highlight w:val="none"/>
                <w:vertAlign w:val="superscript"/>
              </w:rPr>
              <w:t>-3</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0.4×10</w:t>
            </w:r>
            <w:r>
              <w:rPr>
                <w:rFonts w:hint="default" w:ascii="Times New Roman" w:hAnsi="Times New Roman" w:cs="Times New Roman"/>
                <w:highlight w:val="none"/>
                <w:vertAlign w:val="superscript"/>
              </w:rPr>
              <w:t>-3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28</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镉/(mg/L)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0.1×10</w:t>
            </w:r>
            <w:r>
              <w:rPr>
                <w:rFonts w:hint="default" w:ascii="Times New Roman" w:hAnsi="Times New Roman" w:cs="Times New Roman"/>
                <w:highlight w:val="none"/>
                <w:vertAlign w:val="superscript"/>
              </w:rPr>
              <w:t>-3</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7</w:t>
            </w:r>
            <w:r>
              <w:rPr>
                <w:rFonts w:hint="eastAsia" w:ascii="Times New Roman" w:hAnsi="Times New Roman" w:cs="Times New Roman"/>
                <w:highlight w:val="none"/>
                <w:lang w:val="en-US" w:eastAsia="zh-CN"/>
              </w:rPr>
              <w:t>.</w:t>
            </w:r>
            <w:r>
              <w:rPr>
                <w:rFonts w:hint="default" w:ascii="Times New Roman" w:hAnsi="Times New Roman" w:cs="Times New Roman"/>
                <w:highlight w:val="none"/>
                <w:lang w:val="en-US" w:eastAsia="zh-CN"/>
              </w:rPr>
              <w:t>86×10</w:t>
            </w:r>
            <w:r>
              <w:rPr>
                <w:rFonts w:hint="default" w:ascii="Times New Roman" w:hAnsi="Times New Roman" w:cs="Times New Roman"/>
                <w:highlight w:val="none"/>
                <w:vertAlign w:val="superscript"/>
                <w:lang w:val="en-US" w:eastAsia="zh-CN"/>
              </w:rPr>
              <w:t>-3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29</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铬（六价）/(mg/L)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0.004</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0.004</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30</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铅/(mg/L)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1×10</w:t>
            </w:r>
            <w:r>
              <w:rPr>
                <w:rFonts w:hint="default" w:ascii="Times New Roman" w:hAnsi="Times New Roman" w:cs="Times New Roman"/>
                <w:highlight w:val="none"/>
                <w:vertAlign w:val="superscript"/>
              </w:rPr>
              <w:t>-3</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32.3×10</w:t>
            </w:r>
            <w:r>
              <w:rPr>
                <w:rFonts w:hint="eastAsia" w:ascii="Times New Roman" w:hAnsi="Times New Roman" w:cs="Times New Roman"/>
                <w:highlight w:val="none"/>
                <w:vertAlign w:val="superscript"/>
                <w:lang w:val="en-US" w:eastAsia="zh-CN"/>
              </w:rPr>
              <w:t>-3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31</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三氯甲烷/(μg/L)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1.4</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3.3</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32</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四氯化碳/(μg/L)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1.5</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1.5</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33</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苯/(μg/L)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1.4</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1.4</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34</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甲苯/(μg/L)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1.4</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1.4</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35</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总大肠菌群，MPN/100mL</w:t>
            </w:r>
          </w:p>
        </w:tc>
        <w:tc>
          <w:tcPr>
            <w:tcW w:w="146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未检出</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未检出</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36</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菌落总数，CFU/mL</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55</w:t>
            </w:r>
          </w:p>
        </w:tc>
        <w:tc>
          <w:tcPr>
            <w:tcW w:w="1552" w:type="dxa"/>
            <w:noWrap/>
            <w:vAlign w:val="center"/>
          </w:tcPr>
          <w:p>
            <w:pPr>
              <w:jc w:val="cente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&lt;1</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37</w:t>
            </w:r>
          </w:p>
        </w:tc>
        <w:tc>
          <w:tcPr>
            <w:tcW w:w="3034"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硝酸盐</w:t>
            </w:r>
          </w:p>
        </w:tc>
        <w:tc>
          <w:tcPr>
            <w:tcW w:w="1466" w:type="dxa"/>
            <w:noWrap/>
            <w:vAlign w:val="center"/>
          </w:tcPr>
          <w:p>
            <w:pPr>
              <w:jc w:val="cente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5.39</w:t>
            </w:r>
          </w:p>
        </w:tc>
        <w:tc>
          <w:tcPr>
            <w:tcW w:w="1552"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0.003L</w:t>
            </w:r>
          </w:p>
        </w:tc>
        <w:tc>
          <w:tcPr>
            <w:tcW w:w="1828" w:type="dxa"/>
            <w:noWrap/>
            <w:vAlign w:val="center"/>
          </w:tcPr>
          <w:p>
            <w:pPr>
              <w:jc w:val="center"/>
              <w:rPr>
                <w:rFonts w:hint="default" w:ascii="Times New Roman" w:hAnsi="Times New Roman" w:cs="Times New Roman"/>
                <w:highlight w:val="none"/>
              </w:rPr>
            </w:pPr>
            <w:r>
              <w:rPr>
                <w:rFonts w:hint="default" w:ascii="Times New Roman" w:hAnsi="Times New Roman" w:cs="Times New Roman"/>
                <w:highlight w:val="none"/>
              </w:rPr>
              <w:t>≤20</w:t>
            </w:r>
          </w:p>
        </w:tc>
      </w:tr>
    </w:tbl>
    <w:p>
      <w:pPr>
        <w:spacing w:beforeLines="50" w:afterLines="50"/>
        <w:outlineLvl w:val="9"/>
        <w:rPr>
          <w:rFonts w:hint="eastAsia" w:ascii="Times New Roman" w:hAnsi="Times New Roman" w:eastAsia="宋体" w:cs="Times New Roman"/>
          <w:b/>
          <w:color w:val="000000"/>
          <w:sz w:val="24"/>
          <w:szCs w:val="24"/>
          <w:lang w:eastAsia="zh-CN"/>
        </w:rPr>
      </w:pPr>
      <w:r>
        <w:rPr>
          <w:rFonts w:hint="eastAsia" w:ascii="Times New Roman" w:hAnsi="Times New Roman" w:eastAsia="宋体" w:cs="Times New Roman"/>
          <w:b/>
          <w:color w:val="000000"/>
          <w:sz w:val="24"/>
          <w:szCs w:val="24"/>
          <w:lang w:eastAsia="zh-CN"/>
        </w:rPr>
        <w:drawing>
          <wp:inline distT="0" distB="0" distL="114300" distR="114300">
            <wp:extent cx="5322570" cy="3338830"/>
            <wp:effectExtent l="4445" t="4445" r="6985" b="9525"/>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bookmarkEnd w:id="487"/>
    <w:bookmarkEnd w:id="488"/>
    <w:bookmarkEnd w:id="489"/>
    <w:p>
      <w:pPr>
        <w:pStyle w:val="5"/>
        <w:keepNext w:val="0"/>
        <w:keepLines w:val="0"/>
        <w:widowControl/>
        <w:spacing w:line="360" w:lineRule="auto"/>
        <w:contextualSpacing/>
        <w:jc w:val="left"/>
        <w:outlineLvl w:val="0"/>
        <w:rPr>
          <w:rFonts w:ascii="Times New Roman" w:hAnsi="Times New Roman"/>
          <w:b/>
          <w:kern w:val="0"/>
          <w:sz w:val="28"/>
          <w:szCs w:val="26"/>
        </w:rPr>
      </w:pPr>
      <w:bookmarkStart w:id="490" w:name="_Toc19947"/>
      <w:bookmarkStart w:id="491" w:name="_Toc27078376"/>
      <w:bookmarkStart w:id="492" w:name="_Toc23867"/>
      <w:bookmarkStart w:id="493" w:name="_Toc16024"/>
      <w:bookmarkStart w:id="494" w:name="_Toc27937"/>
      <w:bookmarkStart w:id="495" w:name="_Toc11790"/>
      <w:bookmarkStart w:id="496" w:name="_Toc27577081"/>
      <w:r>
        <w:rPr>
          <w:rFonts w:hint="eastAsia" w:ascii="Times New Roman" w:hAnsi="Times New Roman"/>
          <w:b/>
          <w:kern w:val="0"/>
          <w:sz w:val="28"/>
          <w:szCs w:val="26"/>
        </w:rPr>
        <w:t>5.3不确定性分析</w:t>
      </w:r>
      <w:bookmarkEnd w:id="490"/>
      <w:bookmarkEnd w:id="491"/>
      <w:bookmarkEnd w:id="492"/>
      <w:bookmarkEnd w:id="493"/>
      <w:bookmarkEnd w:id="494"/>
      <w:bookmarkEnd w:id="495"/>
      <w:bookmarkEnd w:id="496"/>
    </w:p>
    <w:p>
      <w:pPr>
        <w:widowControl/>
        <w:spacing w:line="360" w:lineRule="auto"/>
        <w:ind w:firstLine="480" w:firstLineChars="200"/>
        <w:jc w:val="left"/>
        <w:rPr>
          <w:rFonts w:hAnsi="宋体"/>
          <w:sz w:val="24"/>
          <w:szCs w:val="24"/>
        </w:rPr>
        <w:sectPr>
          <w:pgSz w:w="11906" w:h="16838"/>
          <w:pgMar w:top="1440" w:right="1800" w:bottom="1440" w:left="1800" w:header="851" w:footer="992" w:gutter="0"/>
          <w:pgNumType w:fmt="decimal"/>
          <w:cols w:space="720" w:num="1"/>
          <w:docGrid w:type="lines" w:linePitch="312" w:charSpace="0"/>
        </w:sectPr>
      </w:pPr>
      <w:r>
        <w:rPr>
          <w:rFonts w:hint="eastAsia" w:hAnsi="宋体"/>
          <w:sz w:val="24"/>
          <w:szCs w:val="24"/>
        </w:rPr>
        <w:t>本次地块土壤污染状况初步调查存在一些不确定性，可能会对评价结果准确性产生一定影响，不确定性主要由于本次地块调查共布设10个土壤采样点位，由于点的局限性及土壤污染的非均质性，采样点难以完全真实反映该耕种土壤环境状况水平，检测结果可能存在一定的偏差性。</w:t>
      </w:r>
    </w:p>
    <w:p>
      <w:pPr>
        <w:pStyle w:val="4"/>
        <w:keepNext w:val="0"/>
        <w:keepLines w:val="0"/>
        <w:spacing w:line="360" w:lineRule="auto"/>
        <w:ind w:firstLine="0" w:firstLineChars="0"/>
        <w:contextualSpacing/>
        <w:jc w:val="center"/>
        <w:rPr>
          <w:rFonts w:ascii="Times New Roman" w:hAnsi="Times New Roman" w:eastAsia="黑体"/>
          <w:bCs/>
          <w:kern w:val="2"/>
          <w:szCs w:val="32"/>
        </w:rPr>
      </w:pPr>
      <w:bookmarkStart w:id="497" w:name="_Toc27577082"/>
      <w:bookmarkStart w:id="498" w:name="_Toc19084"/>
      <w:bookmarkStart w:id="499" w:name="_Toc28283"/>
      <w:bookmarkStart w:id="500" w:name="_Toc2411"/>
      <w:bookmarkStart w:id="501" w:name="_Toc5335"/>
      <w:bookmarkStart w:id="502" w:name="_Toc48673379"/>
      <w:bookmarkStart w:id="503" w:name="_Toc15791"/>
      <w:bookmarkStart w:id="504" w:name="_Toc8547"/>
      <w:bookmarkStart w:id="505" w:name="_Toc8278"/>
      <w:bookmarkStart w:id="506" w:name="_Toc8458"/>
      <w:bookmarkStart w:id="507" w:name="_Toc27078377"/>
      <w:bookmarkStart w:id="508" w:name="_Toc11936"/>
      <w:r>
        <w:rPr>
          <w:rFonts w:hint="eastAsia" w:ascii="Times New Roman" w:hAnsi="Times New Roman" w:eastAsia="黑体"/>
          <w:bCs/>
          <w:kern w:val="2"/>
          <w:szCs w:val="32"/>
        </w:rPr>
        <w:t>6结论和建议</w:t>
      </w:r>
      <w:bookmarkEnd w:id="497"/>
      <w:bookmarkEnd w:id="498"/>
      <w:bookmarkEnd w:id="499"/>
      <w:bookmarkEnd w:id="500"/>
      <w:bookmarkEnd w:id="501"/>
      <w:bookmarkEnd w:id="502"/>
      <w:bookmarkEnd w:id="503"/>
      <w:bookmarkEnd w:id="504"/>
      <w:bookmarkEnd w:id="505"/>
      <w:bookmarkEnd w:id="506"/>
      <w:bookmarkEnd w:id="507"/>
      <w:bookmarkEnd w:id="508"/>
    </w:p>
    <w:p>
      <w:pPr>
        <w:pStyle w:val="5"/>
        <w:keepNext w:val="0"/>
        <w:keepLines w:val="0"/>
        <w:widowControl/>
        <w:spacing w:line="360" w:lineRule="auto"/>
        <w:contextualSpacing/>
        <w:jc w:val="left"/>
        <w:outlineLvl w:val="0"/>
        <w:rPr>
          <w:rFonts w:ascii="Times New Roman" w:hAnsi="Times New Roman"/>
          <w:b/>
          <w:kern w:val="0"/>
          <w:sz w:val="28"/>
          <w:szCs w:val="26"/>
        </w:rPr>
      </w:pPr>
      <w:bookmarkStart w:id="509" w:name="_Toc3800"/>
      <w:bookmarkStart w:id="510" w:name="_Toc4374"/>
      <w:bookmarkStart w:id="511" w:name="_Toc19556"/>
      <w:bookmarkStart w:id="512" w:name="_Toc9860"/>
      <w:bookmarkStart w:id="513" w:name="_Toc27078378"/>
      <w:bookmarkStart w:id="514" w:name="_Toc3144"/>
      <w:bookmarkStart w:id="515" w:name="_Toc2164"/>
      <w:bookmarkStart w:id="516" w:name="_Toc27577083"/>
      <w:bookmarkStart w:id="517" w:name="_Toc18878"/>
      <w:bookmarkStart w:id="518" w:name="_Toc31946"/>
      <w:r>
        <w:rPr>
          <w:rFonts w:hint="eastAsia" w:ascii="Times New Roman" w:hAnsi="Times New Roman"/>
          <w:b/>
          <w:kern w:val="0"/>
          <w:sz w:val="28"/>
          <w:szCs w:val="26"/>
        </w:rPr>
        <w:t>6.1结论</w:t>
      </w:r>
      <w:bookmarkEnd w:id="509"/>
      <w:bookmarkEnd w:id="510"/>
      <w:bookmarkEnd w:id="511"/>
      <w:bookmarkEnd w:id="512"/>
      <w:bookmarkEnd w:id="513"/>
      <w:bookmarkEnd w:id="514"/>
      <w:bookmarkEnd w:id="515"/>
      <w:bookmarkEnd w:id="516"/>
      <w:bookmarkEnd w:id="517"/>
      <w:bookmarkEnd w:id="518"/>
    </w:p>
    <w:p>
      <w:pPr>
        <w:widowControl/>
        <w:spacing w:line="360" w:lineRule="auto"/>
        <w:ind w:firstLine="480" w:firstLineChars="200"/>
        <w:jc w:val="left"/>
        <w:rPr>
          <w:rFonts w:hint="default" w:ascii="Times New Roman" w:hAnsi="Times New Roman" w:cs="Times New Roman"/>
          <w:sz w:val="24"/>
          <w:szCs w:val="24"/>
        </w:rPr>
      </w:pPr>
      <w:r>
        <w:rPr>
          <w:rFonts w:hint="eastAsia" w:hAnsi="宋体"/>
          <w:sz w:val="24"/>
          <w:szCs w:val="24"/>
        </w:rPr>
        <w:t>本次调查的</w:t>
      </w:r>
      <w:r>
        <w:rPr>
          <w:rFonts w:hint="eastAsia" w:hAnsi="宋体"/>
          <w:sz w:val="24"/>
          <w:szCs w:val="24"/>
          <w:lang w:eastAsia="zh-CN"/>
        </w:rPr>
        <w:t>河南经济贸易技师学校扩展工程地块</w:t>
      </w:r>
      <w:r>
        <w:rPr>
          <w:rFonts w:hint="eastAsia" w:hAnsi="宋体"/>
          <w:sz w:val="24"/>
          <w:szCs w:val="24"/>
        </w:rPr>
        <w:t>位于</w:t>
      </w:r>
      <w:r>
        <w:rPr>
          <w:rFonts w:hint="eastAsia" w:hAnsi="宋体"/>
          <w:sz w:val="24"/>
          <w:szCs w:val="24"/>
          <w:lang w:eastAsia="zh-CN"/>
        </w:rPr>
        <w:t>河南经济贸易技师学校</w:t>
      </w:r>
      <w:r>
        <w:rPr>
          <w:rFonts w:hint="eastAsia" w:hAnsi="宋体"/>
          <w:sz w:val="24"/>
          <w:szCs w:val="24"/>
        </w:rPr>
        <w:t>北部，</w:t>
      </w:r>
      <w:r>
        <w:rPr>
          <w:rFonts w:hint="default" w:ascii="Times New Roman" w:hAnsi="Times New Roman" w:cs="Times New Roman"/>
          <w:sz w:val="24"/>
          <w:szCs w:val="24"/>
        </w:rPr>
        <w:t>本次调查地块面积为</w:t>
      </w:r>
      <w:r>
        <w:rPr>
          <w:rFonts w:hint="eastAsia" w:ascii="Times New Roman" w:hAnsi="Times New Roman" w:cs="Times New Roman"/>
          <w:sz w:val="24"/>
          <w:szCs w:val="24"/>
          <w:lang w:val="en-US" w:eastAsia="zh-CN"/>
        </w:rPr>
        <w:t>16948.32m</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rPr>
        <w:t>，调查自</w:t>
      </w:r>
      <w:r>
        <w:rPr>
          <w:rFonts w:hint="eastAsia" w:ascii="Times New Roman" w:hAnsi="Times New Roman" w:cs="Times New Roman"/>
          <w:sz w:val="24"/>
          <w:szCs w:val="24"/>
          <w:lang w:val="en-US" w:eastAsia="zh-CN"/>
        </w:rPr>
        <w:t>2020</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10</w:t>
      </w:r>
      <w:r>
        <w:rPr>
          <w:rFonts w:hint="default" w:ascii="Times New Roman" w:hAnsi="Times New Roman" w:cs="Times New Roman"/>
          <w:sz w:val="24"/>
          <w:szCs w:val="24"/>
        </w:rPr>
        <w:t>月至</w:t>
      </w:r>
      <w:r>
        <w:rPr>
          <w:rFonts w:hint="eastAsia" w:ascii="Times New Roman" w:hAnsi="Times New Roman" w:cs="Times New Roman"/>
          <w:sz w:val="24"/>
          <w:szCs w:val="24"/>
          <w:lang w:val="en-US" w:eastAsia="zh-CN"/>
        </w:rPr>
        <w:t>2020</w:t>
      </w:r>
      <w:r>
        <w:rPr>
          <w:rFonts w:hint="default" w:ascii="Times New Roman" w:hAnsi="Times New Roman" w:cs="Times New Roman"/>
          <w:sz w:val="24"/>
          <w:szCs w:val="24"/>
        </w:rPr>
        <w:t>年</w:t>
      </w:r>
      <w:r>
        <w:rPr>
          <w:rFonts w:hint="eastAsia" w:ascii="Times New Roman" w:hAnsi="Times New Roman" w:cs="Times New Roman"/>
          <w:sz w:val="24"/>
          <w:szCs w:val="24"/>
          <w:lang w:val="en-US" w:eastAsia="zh-CN"/>
        </w:rPr>
        <w:t>11</w:t>
      </w:r>
      <w:r>
        <w:rPr>
          <w:rFonts w:hint="default" w:ascii="Times New Roman" w:hAnsi="Times New Roman" w:cs="Times New Roman"/>
          <w:sz w:val="24"/>
          <w:szCs w:val="24"/>
        </w:rPr>
        <w:t>月结束，分别进行了第一阶段污染物识别、第二阶段采样测试分析等工作。</w:t>
      </w:r>
    </w:p>
    <w:p>
      <w:pPr>
        <w:widowControl/>
        <w:spacing w:line="360" w:lineRule="auto"/>
        <w:ind w:firstLine="480" w:firstLineChars="200"/>
        <w:jc w:val="left"/>
        <w:rPr>
          <w:rFonts w:hAnsi="宋体"/>
          <w:sz w:val="24"/>
          <w:szCs w:val="24"/>
        </w:rPr>
      </w:pPr>
      <w:r>
        <w:rPr>
          <w:rFonts w:hint="eastAsia" w:hAnsi="宋体"/>
          <w:sz w:val="24"/>
          <w:szCs w:val="24"/>
        </w:rPr>
        <w:t>（1）地块基本情况：地块自2005年起至今，均为耕种用地后闲置。</w:t>
      </w:r>
    </w:p>
    <w:p>
      <w:pPr>
        <w:widowControl/>
        <w:spacing w:line="360" w:lineRule="auto"/>
        <w:ind w:firstLine="480" w:firstLineChars="200"/>
        <w:jc w:val="left"/>
        <w:rPr>
          <w:rFonts w:hAnsi="宋体"/>
          <w:sz w:val="24"/>
          <w:szCs w:val="24"/>
        </w:rPr>
      </w:pPr>
      <w:r>
        <w:rPr>
          <w:rFonts w:hint="eastAsia" w:hAnsi="宋体"/>
          <w:sz w:val="24"/>
          <w:szCs w:val="24"/>
        </w:rPr>
        <w:t>（2）布点采样情况：通过地块使用历史、污染源分析，结合现场踏勘情况，判断调查地块的污染区域为耕种范围，</w:t>
      </w:r>
      <w:r>
        <w:rPr>
          <w:rFonts w:hint="eastAsia" w:ascii="Times New Roman" w:hAnsi="宋体"/>
          <w:sz w:val="24"/>
          <w:szCs w:val="24"/>
        </w:rPr>
        <w:t>分析认为涉及到的重点潜在</w:t>
      </w:r>
      <w:r>
        <w:rPr>
          <w:rFonts w:hint="eastAsia" w:ascii="Times New Roman" w:hAnsi="宋体"/>
          <w:color w:val="auto"/>
          <w:sz w:val="24"/>
          <w:szCs w:val="24"/>
        </w:rPr>
        <w:t>污染物</w:t>
      </w:r>
      <w:r>
        <w:rPr>
          <w:rFonts w:hint="eastAsia" w:ascii="Times New Roman" w:hAnsi="宋体"/>
          <w:sz w:val="24"/>
          <w:szCs w:val="24"/>
        </w:rPr>
        <w:t>主要</w:t>
      </w:r>
      <w:r>
        <w:rPr>
          <w:rFonts w:hint="eastAsia" w:ascii="Times New Roman" w:hAnsi="宋体"/>
          <w:color w:val="auto"/>
          <w:sz w:val="24"/>
          <w:szCs w:val="24"/>
        </w:rPr>
        <w:t>有部分有机物</w:t>
      </w:r>
      <w:r>
        <w:rPr>
          <w:rFonts w:hint="eastAsia" w:ascii="Times New Roman" w:hAnsi="宋体"/>
          <w:color w:val="auto"/>
          <w:sz w:val="24"/>
          <w:szCs w:val="24"/>
          <w:lang w:eastAsia="zh-CN"/>
        </w:rPr>
        <w:t>、</w:t>
      </w:r>
      <w:r>
        <w:rPr>
          <w:rFonts w:hint="eastAsia" w:ascii="Times New Roman" w:hAnsi="宋体"/>
          <w:color w:val="auto"/>
          <w:sz w:val="24"/>
          <w:szCs w:val="24"/>
          <w:lang w:val="en-US" w:eastAsia="zh-CN"/>
        </w:rPr>
        <w:t>农业灌溉造成的水体富营养化及施肥过程中砷、铅等元素</w:t>
      </w:r>
      <w:r>
        <w:rPr>
          <w:rFonts w:hint="eastAsia" w:hAnsi="宋体"/>
          <w:sz w:val="24"/>
          <w:szCs w:val="24"/>
        </w:rPr>
        <w:t>。</w:t>
      </w:r>
    </w:p>
    <w:p>
      <w:pPr>
        <w:widowControl/>
        <w:spacing w:line="360" w:lineRule="auto"/>
        <w:ind w:firstLine="480" w:firstLineChars="200"/>
        <w:jc w:val="left"/>
        <w:rPr>
          <w:rFonts w:hAnsi="宋体"/>
          <w:sz w:val="24"/>
          <w:szCs w:val="24"/>
        </w:rPr>
      </w:pPr>
      <w:r>
        <w:rPr>
          <w:rFonts w:hint="eastAsia" w:hAnsi="宋体"/>
          <w:sz w:val="24"/>
          <w:szCs w:val="24"/>
        </w:rPr>
        <w:t>根据《建设用地土壤环境调查评估技术指南》（环保部公告2017年第72号令）要求，运用分区布点法在地块内布设了</w:t>
      </w:r>
      <w:r>
        <w:rPr>
          <w:rFonts w:hint="eastAsia" w:hAnsi="宋体"/>
          <w:sz w:val="24"/>
          <w:szCs w:val="24"/>
          <w:lang w:val="en-US" w:eastAsia="zh-CN"/>
        </w:rPr>
        <w:t>7</w:t>
      </w:r>
      <w:r>
        <w:rPr>
          <w:rFonts w:hint="eastAsia" w:hAnsi="宋体"/>
          <w:sz w:val="24"/>
          <w:szCs w:val="24"/>
        </w:rPr>
        <w:t>个土壤采样点（</w:t>
      </w:r>
      <w:r>
        <w:rPr>
          <w:rFonts w:hint="eastAsia" w:hAnsi="宋体"/>
          <w:color w:val="auto"/>
          <w:sz w:val="24"/>
          <w:szCs w:val="24"/>
        </w:rPr>
        <w:t>采样深度为3m），3</w:t>
      </w:r>
      <w:r>
        <w:rPr>
          <w:rFonts w:hint="eastAsia" w:hAnsi="宋体"/>
          <w:sz w:val="24"/>
          <w:szCs w:val="24"/>
        </w:rPr>
        <w:t>个地下水采样点，共计采集土壤样品</w:t>
      </w:r>
      <w:r>
        <w:rPr>
          <w:rFonts w:hint="eastAsia" w:hAnsi="宋体"/>
          <w:sz w:val="24"/>
          <w:szCs w:val="24"/>
          <w:lang w:val="en-US" w:eastAsia="zh-CN"/>
        </w:rPr>
        <w:t>21</w:t>
      </w:r>
      <w:r>
        <w:rPr>
          <w:rFonts w:hint="eastAsia" w:hAnsi="宋体"/>
          <w:sz w:val="24"/>
          <w:szCs w:val="24"/>
        </w:rPr>
        <w:t>件、地下水样品</w:t>
      </w:r>
      <w:r>
        <w:rPr>
          <w:rFonts w:hint="eastAsia" w:hAnsi="宋体"/>
          <w:sz w:val="24"/>
          <w:szCs w:val="24"/>
          <w:lang w:val="en-US" w:eastAsia="zh-CN"/>
        </w:rPr>
        <w:t>3</w:t>
      </w:r>
      <w:r>
        <w:rPr>
          <w:rFonts w:hint="eastAsia" w:hAnsi="宋体"/>
          <w:sz w:val="24"/>
          <w:szCs w:val="24"/>
        </w:rPr>
        <w:t>件。本次调查土壤样品测试项目的设置为《土壤环境质量建设用地土壤污染风险管控标准（试行）》（GB36600—2018）规定的建设用地土壤污染风险筛值基本项目45项，加测项为pH；地下水样的测试项目参考《地下水质量标准》（GB/T 14848-2017）和《污染物排放标准》GB21900-2008相关规定设置，共计37个指标。</w:t>
      </w:r>
    </w:p>
    <w:p>
      <w:pPr>
        <w:widowControl/>
        <w:spacing w:line="360" w:lineRule="auto"/>
        <w:ind w:firstLine="480" w:firstLineChars="200"/>
        <w:jc w:val="left"/>
        <w:rPr>
          <w:rFonts w:hint="eastAsia" w:hAnsi="宋体"/>
          <w:sz w:val="24"/>
          <w:szCs w:val="24"/>
        </w:rPr>
      </w:pPr>
      <w:r>
        <w:rPr>
          <w:rFonts w:hint="eastAsia" w:hAnsi="宋体"/>
          <w:sz w:val="24"/>
          <w:szCs w:val="24"/>
        </w:rPr>
        <w:t>（3）测试结果与分析：所有检测项目均低于《土壤环境质量建设用地土壤环境污染风险管控标准》</w:t>
      </w:r>
      <w:r>
        <w:rPr>
          <w:rFonts w:hint="eastAsia" w:hAnsi="宋体"/>
          <w:color w:val="auto"/>
          <w:sz w:val="24"/>
          <w:szCs w:val="24"/>
        </w:rPr>
        <w:t>（GB36600-2018）规定的建设用地土壤污染风险第</w:t>
      </w:r>
      <w:r>
        <w:rPr>
          <w:rFonts w:hint="eastAsia" w:hAnsi="宋体"/>
          <w:color w:val="auto"/>
          <w:sz w:val="24"/>
          <w:szCs w:val="24"/>
          <w:lang w:eastAsia="zh-CN"/>
        </w:rPr>
        <w:t>一</w:t>
      </w:r>
      <w:r>
        <w:rPr>
          <w:rFonts w:hint="eastAsia" w:hAnsi="宋体"/>
          <w:color w:val="auto"/>
          <w:sz w:val="24"/>
          <w:szCs w:val="24"/>
        </w:rPr>
        <w:t>类用地筛选值标准</w:t>
      </w:r>
      <w:r>
        <w:rPr>
          <w:rFonts w:hint="eastAsia" w:hAnsi="宋体"/>
          <w:sz w:val="24"/>
          <w:szCs w:val="24"/>
        </w:rPr>
        <w:t>。样品检测项目的含量与对照点样品中的含量无明显差异。</w:t>
      </w:r>
    </w:p>
    <w:p>
      <w:pPr>
        <w:widowControl/>
        <w:spacing w:line="360" w:lineRule="auto"/>
        <w:ind w:firstLine="480" w:firstLineChars="200"/>
        <w:jc w:val="left"/>
        <w:rPr>
          <w:rFonts w:hAnsi="宋体"/>
          <w:sz w:val="24"/>
          <w:szCs w:val="24"/>
        </w:rPr>
      </w:pPr>
      <w:r>
        <w:rPr>
          <w:rFonts w:hint="default" w:ascii="Times New Roman" w:hAnsi="Times New Roman" w:cs="Times New Roman"/>
          <w:sz w:val="24"/>
          <w:szCs w:val="24"/>
        </w:rPr>
        <w:t>地下水样检测结果表明除总硬度、溶解性总固体、铝、氨氮外，其他检测指标均符合地下水</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=3\*ROMAN</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III</w:t>
      </w:r>
      <w:r>
        <w:rPr>
          <w:rFonts w:hint="default" w:ascii="Times New Roman" w:hAnsi="Times New Roman" w:cs="Times New Roman"/>
          <w:sz w:val="24"/>
          <w:szCs w:val="24"/>
        </w:rPr>
        <w:fldChar w:fldCharType="end"/>
      </w:r>
      <w:r>
        <w:rPr>
          <w:rFonts w:hint="default" w:ascii="Times New Roman" w:hAnsi="Times New Roman" w:cs="Times New Roman"/>
          <w:sz w:val="24"/>
          <w:szCs w:val="24"/>
        </w:rPr>
        <w:t>类水质标准；总硬度、溶解性总固体、铝达到</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=4\*ROMAN</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IV</w:t>
      </w:r>
      <w:r>
        <w:rPr>
          <w:rFonts w:hint="default" w:ascii="Times New Roman" w:hAnsi="Times New Roman" w:cs="Times New Roman"/>
          <w:sz w:val="24"/>
          <w:szCs w:val="24"/>
        </w:rPr>
        <w:fldChar w:fldCharType="end"/>
      </w:r>
      <w:r>
        <w:rPr>
          <w:rFonts w:hint="default" w:ascii="Times New Roman" w:hAnsi="Times New Roman" w:cs="Times New Roman"/>
          <w:sz w:val="24"/>
          <w:szCs w:val="24"/>
        </w:rPr>
        <w:t>类水质标准；氨氮超过了</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=5\*ROMAN</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V</w:t>
      </w:r>
      <w:r>
        <w:rPr>
          <w:rFonts w:hint="default" w:ascii="Times New Roman" w:hAnsi="Times New Roman" w:cs="Times New Roman"/>
          <w:sz w:val="24"/>
          <w:szCs w:val="24"/>
        </w:rPr>
        <w:fldChar w:fldCharType="end"/>
      </w:r>
      <w:r>
        <w:rPr>
          <w:rFonts w:hint="default" w:ascii="Times New Roman" w:hAnsi="Times New Roman" w:cs="Times New Roman"/>
          <w:sz w:val="24"/>
          <w:szCs w:val="24"/>
        </w:rPr>
        <w:t>类水质标准。</w:t>
      </w:r>
    </w:p>
    <w:p>
      <w:pPr>
        <w:pStyle w:val="3"/>
        <w:spacing w:line="365" w:lineRule="auto"/>
        <w:ind w:firstLine="480" w:firstLineChars="200"/>
        <w:jc w:val="both"/>
        <w:rPr>
          <w:rFonts w:hAnsi="宋体"/>
          <w:sz w:val="24"/>
          <w:szCs w:val="24"/>
        </w:rPr>
      </w:pPr>
      <w:r>
        <w:rPr>
          <w:rFonts w:hint="eastAsia" w:hAnsi="宋体"/>
          <w:sz w:val="24"/>
          <w:szCs w:val="24"/>
        </w:rPr>
        <w:t>通过第一阶段污染识别及第二阶段采样测试分析等工作，本次</w:t>
      </w:r>
      <w:r>
        <w:rPr>
          <w:rFonts w:hint="eastAsia" w:hAnsi="宋体"/>
          <w:sz w:val="24"/>
          <w:szCs w:val="24"/>
          <w:lang w:eastAsia="zh-CN"/>
        </w:rPr>
        <w:t>河南经济贸易技师学校扩展地块</w:t>
      </w:r>
      <w:r>
        <w:rPr>
          <w:rFonts w:hint="eastAsia" w:hAnsi="宋体"/>
          <w:sz w:val="24"/>
          <w:szCs w:val="24"/>
        </w:rPr>
        <w:t>土壤污染状况初步调查认为本地块不是污染地块，适用于</w:t>
      </w:r>
      <w:r>
        <w:rPr>
          <w:rFonts w:hint="eastAsia" w:hAnsi="宋体"/>
          <w:sz w:val="24"/>
          <w:szCs w:val="24"/>
          <w:lang w:eastAsia="zh-CN"/>
        </w:rPr>
        <w:t>居住用地的</w:t>
      </w:r>
      <w:r>
        <w:rPr>
          <w:rFonts w:hint="eastAsia" w:hAnsi="宋体"/>
          <w:sz w:val="24"/>
          <w:szCs w:val="24"/>
        </w:rPr>
        <w:t>规划开发和利用。</w:t>
      </w:r>
    </w:p>
    <w:p>
      <w:pPr>
        <w:pStyle w:val="5"/>
        <w:keepNext w:val="0"/>
        <w:keepLines w:val="0"/>
        <w:widowControl/>
        <w:spacing w:line="360" w:lineRule="auto"/>
        <w:contextualSpacing/>
        <w:jc w:val="left"/>
        <w:outlineLvl w:val="0"/>
        <w:rPr>
          <w:rFonts w:ascii="Times New Roman" w:hAnsi="Times New Roman"/>
          <w:b/>
          <w:kern w:val="0"/>
          <w:sz w:val="28"/>
          <w:szCs w:val="26"/>
        </w:rPr>
      </w:pPr>
      <w:bookmarkStart w:id="519" w:name="_Toc27577084"/>
      <w:bookmarkStart w:id="520" w:name="_Toc22234"/>
      <w:bookmarkStart w:id="521" w:name="_Toc30761"/>
      <w:bookmarkStart w:id="522" w:name="_Toc16499"/>
      <w:bookmarkStart w:id="523" w:name="_Toc4880"/>
      <w:bookmarkStart w:id="524" w:name="_Toc14402"/>
      <w:bookmarkStart w:id="525" w:name="_Toc19142"/>
      <w:bookmarkStart w:id="526" w:name="_Toc27078379"/>
      <w:bookmarkStart w:id="527" w:name="_Toc14226"/>
      <w:bookmarkStart w:id="528" w:name="_Toc12354"/>
      <w:r>
        <w:rPr>
          <w:rFonts w:hint="eastAsia" w:ascii="Times New Roman" w:hAnsi="Times New Roman"/>
          <w:b/>
          <w:kern w:val="0"/>
          <w:sz w:val="28"/>
          <w:szCs w:val="26"/>
        </w:rPr>
        <w:t>6.2建议</w:t>
      </w:r>
      <w:bookmarkEnd w:id="519"/>
      <w:bookmarkEnd w:id="520"/>
      <w:bookmarkEnd w:id="521"/>
      <w:bookmarkEnd w:id="522"/>
      <w:bookmarkEnd w:id="523"/>
      <w:bookmarkEnd w:id="524"/>
      <w:bookmarkEnd w:id="525"/>
      <w:bookmarkEnd w:id="526"/>
      <w:bookmarkEnd w:id="527"/>
      <w:bookmarkEnd w:id="528"/>
    </w:p>
    <w:p>
      <w:pPr>
        <w:widowControl/>
        <w:spacing w:line="360" w:lineRule="auto"/>
        <w:ind w:firstLine="480" w:firstLineChars="200"/>
        <w:jc w:val="left"/>
        <w:rPr>
          <w:rFonts w:hAnsi="宋体"/>
          <w:sz w:val="24"/>
          <w:szCs w:val="24"/>
        </w:rPr>
      </w:pPr>
      <w:r>
        <w:rPr>
          <w:rFonts w:hint="eastAsia" w:hAnsi="宋体"/>
          <w:sz w:val="24"/>
          <w:szCs w:val="24"/>
        </w:rPr>
        <w:t>1、</w:t>
      </w:r>
      <w:r>
        <w:rPr>
          <w:rFonts w:hint="eastAsia" w:hAnsi="宋体"/>
          <w:sz w:val="24"/>
          <w:szCs w:val="24"/>
          <w:lang w:eastAsia="zh-CN"/>
        </w:rPr>
        <w:t>地下水不适于直接饮用</w:t>
      </w:r>
      <w:r>
        <w:rPr>
          <w:rFonts w:hint="eastAsia" w:hAnsi="宋体"/>
          <w:sz w:val="24"/>
          <w:szCs w:val="24"/>
        </w:rPr>
        <w:t>；</w:t>
      </w:r>
    </w:p>
    <w:p>
      <w:pPr>
        <w:widowControl/>
        <w:spacing w:line="360" w:lineRule="auto"/>
        <w:ind w:firstLine="480" w:firstLineChars="200"/>
        <w:jc w:val="left"/>
        <w:rPr>
          <w:rFonts w:hAnsi="宋体"/>
          <w:sz w:val="24"/>
          <w:szCs w:val="24"/>
        </w:rPr>
      </w:pPr>
      <w:r>
        <w:rPr>
          <w:rFonts w:hint="eastAsia" w:hAnsi="宋体"/>
          <w:sz w:val="24"/>
          <w:szCs w:val="24"/>
        </w:rPr>
        <w:t>2、加强</w:t>
      </w:r>
      <w:r>
        <w:rPr>
          <w:rFonts w:hint="eastAsia" w:hAnsi="宋体"/>
          <w:sz w:val="24"/>
          <w:szCs w:val="24"/>
          <w:lang w:eastAsia="zh-CN"/>
        </w:rPr>
        <w:t>环保</w:t>
      </w:r>
      <w:r>
        <w:rPr>
          <w:rFonts w:hint="eastAsia" w:hAnsi="宋体"/>
          <w:sz w:val="24"/>
          <w:szCs w:val="24"/>
        </w:rPr>
        <w:t>宣传教育，提升周围居民环境保护意识。</w:t>
      </w:r>
    </w:p>
    <w:p>
      <w:pPr>
        <w:widowControl/>
        <w:spacing w:line="360" w:lineRule="auto"/>
        <w:ind w:firstLine="480" w:firstLineChars="200"/>
        <w:jc w:val="left"/>
        <w:rPr>
          <w:rFonts w:hAnsi="宋体"/>
          <w:sz w:val="24"/>
          <w:szCs w:val="24"/>
        </w:rPr>
        <w:sectPr>
          <w:pgSz w:w="11906" w:h="16838"/>
          <w:pgMar w:top="1440" w:right="1800" w:bottom="1440" w:left="1800" w:header="851" w:footer="992" w:gutter="0"/>
          <w:pgNumType w:fmt="decimal"/>
          <w:cols w:space="720" w:num="1"/>
          <w:docGrid w:type="lines" w:linePitch="312" w:charSpace="0"/>
        </w:sectPr>
      </w:pPr>
    </w:p>
    <w:p>
      <w:pPr>
        <w:widowControl/>
        <w:spacing w:line="360" w:lineRule="auto"/>
        <w:jc w:val="left"/>
        <w:outlineLvl w:val="0"/>
        <w:rPr>
          <w:rFonts w:hAnsi="宋体"/>
          <w:b/>
          <w:bCs/>
          <w:sz w:val="28"/>
          <w:szCs w:val="28"/>
        </w:rPr>
      </w:pPr>
      <w:bookmarkStart w:id="529" w:name="_Toc8981"/>
      <w:bookmarkStart w:id="530" w:name="_Toc48673380"/>
      <w:bookmarkStart w:id="531" w:name="_Toc8534"/>
      <w:bookmarkStart w:id="532" w:name="_Toc27577085"/>
      <w:bookmarkStart w:id="533" w:name="_Toc7835"/>
      <w:bookmarkStart w:id="534" w:name="_Toc26761"/>
      <w:bookmarkStart w:id="535" w:name="_Toc24864"/>
      <w:bookmarkStart w:id="536" w:name="_Toc14433"/>
      <w:bookmarkStart w:id="537" w:name="_Toc3749"/>
      <w:bookmarkStart w:id="538" w:name="_Toc24825"/>
      <w:bookmarkStart w:id="539" w:name="_Toc18708"/>
      <w:r>
        <w:rPr>
          <w:rFonts w:hint="eastAsia" w:hAnsi="宋体"/>
          <w:b/>
          <w:bCs/>
          <w:sz w:val="28"/>
          <w:szCs w:val="28"/>
        </w:rPr>
        <w:t>附件</w:t>
      </w:r>
      <w:bookmarkEnd w:id="529"/>
      <w:bookmarkEnd w:id="530"/>
      <w:bookmarkEnd w:id="531"/>
      <w:bookmarkEnd w:id="532"/>
      <w:bookmarkEnd w:id="533"/>
      <w:bookmarkEnd w:id="534"/>
      <w:bookmarkEnd w:id="535"/>
      <w:bookmarkEnd w:id="536"/>
      <w:bookmarkEnd w:id="537"/>
      <w:bookmarkEnd w:id="538"/>
      <w:bookmarkEnd w:id="539"/>
      <w:bookmarkStart w:id="540" w:name="_Toc27577086"/>
      <w:bookmarkStart w:id="541" w:name="_Toc15491"/>
      <w:bookmarkStart w:id="542" w:name="_Toc22479"/>
      <w:bookmarkStart w:id="543" w:name="_Toc10727"/>
      <w:bookmarkStart w:id="544" w:name="_Toc9812"/>
      <w:bookmarkStart w:id="545" w:name="_Toc17367"/>
    </w:p>
    <w:p>
      <w:pPr>
        <w:widowControl/>
        <w:spacing w:line="360" w:lineRule="auto"/>
        <w:jc w:val="left"/>
        <w:outlineLvl w:val="0"/>
        <w:rPr>
          <w:rFonts w:hAnsi="宋体"/>
          <w:b/>
          <w:bCs/>
          <w:sz w:val="28"/>
          <w:szCs w:val="28"/>
        </w:rPr>
      </w:pPr>
      <w:bookmarkStart w:id="546" w:name="_Toc22163"/>
      <w:bookmarkStart w:id="547" w:name="_Toc15549"/>
      <w:bookmarkStart w:id="548" w:name="_Toc7417"/>
      <w:bookmarkStart w:id="549" w:name="_Toc12171"/>
      <w:bookmarkStart w:id="550" w:name="_Toc20580"/>
      <w:r>
        <w:rPr>
          <w:rFonts w:hint="eastAsia" w:hAnsi="宋体"/>
          <w:b/>
          <w:bCs/>
          <w:sz w:val="28"/>
          <w:szCs w:val="28"/>
        </w:rPr>
        <w:t>附件1</w:t>
      </w:r>
      <w:r>
        <w:rPr>
          <w:rFonts w:hint="eastAsia" w:hAnsi="宋体"/>
          <w:b/>
          <w:bCs/>
          <w:sz w:val="28"/>
          <w:szCs w:val="28"/>
          <w:lang w:val="en-US" w:eastAsia="zh-CN"/>
        </w:rPr>
        <w:t xml:space="preserve"> </w:t>
      </w:r>
      <w:r>
        <w:rPr>
          <w:rFonts w:hint="eastAsia" w:hAnsi="宋体"/>
          <w:b/>
          <w:bCs/>
          <w:sz w:val="28"/>
          <w:szCs w:val="28"/>
        </w:rPr>
        <w:t>委托书</w:t>
      </w:r>
      <w:bookmarkEnd w:id="540"/>
      <w:bookmarkEnd w:id="541"/>
      <w:bookmarkEnd w:id="542"/>
      <w:bookmarkEnd w:id="543"/>
      <w:bookmarkEnd w:id="544"/>
      <w:bookmarkEnd w:id="545"/>
      <w:bookmarkEnd w:id="546"/>
      <w:bookmarkEnd w:id="547"/>
      <w:bookmarkEnd w:id="548"/>
      <w:bookmarkEnd w:id="549"/>
      <w:bookmarkEnd w:id="550"/>
    </w:p>
    <w:p>
      <w:pPr>
        <w:widowControl/>
        <w:spacing w:line="360" w:lineRule="auto"/>
        <w:ind w:firstLine="1040" w:firstLineChars="200"/>
        <w:jc w:val="center"/>
        <w:rPr>
          <w:rFonts w:hAnsi="宋体"/>
          <w:sz w:val="52"/>
          <w:szCs w:val="52"/>
        </w:rPr>
      </w:pPr>
      <w:r>
        <w:rPr>
          <w:rFonts w:hint="eastAsia" w:hAnsi="宋体"/>
          <w:sz w:val="52"/>
          <w:szCs w:val="52"/>
        </w:rPr>
        <w:t>委托书</w:t>
      </w:r>
    </w:p>
    <w:p>
      <w:pPr>
        <w:widowControl/>
        <w:jc w:val="left"/>
        <w:rPr>
          <w:rFonts w:hAnsi="宋体"/>
          <w:sz w:val="28"/>
          <w:szCs w:val="28"/>
        </w:rPr>
      </w:pPr>
      <w:r>
        <w:rPr>
          <w:rFonts w:hint="eastAsia" w:hAnsi="宋体"/>
          <w:sz w:val="28"/>
          <w:szCs w:val="28"/>
        </w:rPr>
        <w:t>河南睿嘉环保科技有限责任公司：</w:t>
      </w:r>
    </w:p>
    <w:p>
      <w:pPr>
        <w:widowControl/>
        <w:spacing w:line="360" w:lineRule="auto"/>
        <w:ind w:firstLine="560" w:firstLineChars="200"/>
        <w:jc w:val="left"/>
        <w:rPr>
          <w:rFonts w:hint="default" w:ascii="Times New Roman" w:hAnsi="Times New Roman" w:cs="Times New Roman"/>
          <w:sz w:val="28"/>
          <w:szCs w:val="28"/>
        </w:rPr>
      </w:pPr>
      <w:r>
        <w:rPr>
          <w:rFonts w:hint="eastAsia" w:hAnsi="宋体"/>
          <w:sz w:val="28"/>
          <w:szCs w:val="28"/>
        </w:rPr>
        <w:t>根据《中华人民共和国土壤污染防治法》（2019.1.1），《污染地块土壤环境管理办法（试行）》（环境保护部令第42号，2016）、《河南省污染地块土壤环境管理办法（试行）》（豫环文[2018]243号）相关要求和相关规定，我单位委托贵单位对</w:t>
      </w:r>
      <w:r>
        <w:rPr>
          <w:rFonts w:hint="eastAsia" w:hAnsi="宋体"/>
          <w:sz w:val="28"/>
          <w:szCs w:val="28"/>
          <w:lang w:eastAsia="zh-CN"/>
        </w:rPr>
        <w:t>河南经济贸易技师学校扩建项目地块</w:t>
      </w:r>
      <w:r>
        <w:rPr>
          <w:rFonts w:hint="eastAsia" w:hAnsi="宋体"/>
          <w:sz w:val="28"/>
          <w:szCs w:val="28"/>
        </w:rPr>
        <w:t>土壤污染状况进行土壤调查工作，</w:t>
      </w:r>
      <w:r>
        <w:rPr>
          <w:rFonts w:hint="default" w:hAnsi="宋体"/>
          <w:sz w:val="28"/>
          <w:szCs w:val="28"/>
        </w:rPr>
        <w:t>该地块北</w:t>
      </w:r>
      <w:r>
        <w:rPr>
          <w:rFonts w:hint="eastAsia" w:hAnsi="宋体"/>
          <w:sz w:val="28"/>
          <w:szCs w:val="28"/>
          <w:lang w:eastAsia="zh-CN"/>
        </w:rPr>
        <w:t>为规划路</w:t>
      </w:r>
      <w:r>
        <w:rPr>
          <w:rFonts w:hint="default" w:hAnsi="宋体"/>
          <w:sz w:val="28"/>
          <w:szCs w:val="28"/>
        </w:rPr>
        <w:t>，南为</w:t>
      </w:r>
      <w:r>
        <w:rPr>
          <w:rFonts w:hint="eastAsia" w:hAnsi="宋体"/>
          <w:sz w:val="28"/>
          <w:szCs w:val="28"/>
          <w:lang w:eastAsia="zh-CN"/>
        </w:rPr>
        <w:t>河南经济贸易技师学校，西为西台头村集体土地，东为劳动南街</w:t>
      </w:r>
      <w:r>
        <w:rPr>
          <w:rFonts w:hint="default" w:hAnsi="宋体"/>
          <w:sz w:val="28"/>
          <w:szCs w:val="28"/>
        </w:rPr>
        <w:t>。</w:t>
      </w:r>
      <w:r>
        <w:rPr>
          <w:rFonts w:hint="eastAsia" w:hAnsi="宋体"/>
          <w:sz w:val="28"/>
          <w:szCs w:val="28"/>
        </w:rPr>
        <w:t>地块拐点坐标分别</w:t>
      </w:r>
      <w:r>
        <w:rPr>
          <w:rFonts w:hint="default" w:ascii="Times New Roman" w:hAnsi="Times New Roman" w:cs="Times New Roman"/>
          <w:sz w:val="28"/>
          <w:szCs w:val="28"/>
        </w:rPr>
        <w:t>为X</w:t>
      </w:r>
      <w:r>
        <w:rPr>
          <w:rFonts w:hint="default" w:ascii="Times New Roman" w:hAnsi="Times New Roman" w:cs="Times New Roman"/>
          <w:sz w:val="28"/>
          <w:szCs w:val="28"/>
          <w:vertAlign w:val="subscript"/>
        </w:rPr>
        <w:t>1</w:t>
      </w:r>
      <w:r>
        <w:rPr>
          <w:rFonts w:hint="default" w:ascii="Times New Roman" w:hAnsi="Times New Roman" w:cs="Times New Roman"/>
          <w:sz w:val="28"/>
          <w:szCs w:val="28"/>
        </w:rPr>
        <w:t>：</w:t>
      </w:r>
      <w:r>
        <w:rPr>
          <w:snapToGrid w:val="0"/>
          <w:kern w:val="0"/>
          <w:sz w:val="24"/>
        </w:rPr>
        <w:t>3904133.040</w:t>
      </w:r>
      <w:r>
        <w:rPr>
          <w:rFonts w:hint="default" w:ascii="Times New Roman" w:hAnsi="Times New Roman" w:cs="Times New Roman"/>
          <w:sz w:val="28"/>
          <w:szCs w:val="28"/>
        </w:rPr>
        <w:t>、Y</w:t>
      </w:r>
      <w:r>
        <w:rPr>
          <w:rFonts w:hint="default" w:ascii="Times New Roman" w:hAnsi="Times New Roman" w:cs="Times New Roman"/>
          <w:sz w:val="28"/>
          <w:szCs w:val="28"/>
          <w:vertAlign w:val="subscript"/>
        </w:rPr>
        <w:t>1</w:t>
      </w:r>
      <w:r>
        <w:rPr>
          <w:rFonts w:hint="default" w:ascii="Times New Roman" w:hAnsi="Times New Roman" w:cs="Times New Roman"/>
          <w:sz w:val="28"/>
          <w:szCs w:val="28"/>
        </w:rPr>
        <w:t>：</w:t>
      </w:r>
      <w:r>
        <w:rPr>
          <w:snapToGrid w:val="0"/>
          <w:kern w:val="0"/>
          <w:sz w:val="24"/>
        </w:rPr>
        <w:t>38488523.291</w:t>
      </w:r>
      <w:r>
        <w:rPr>
          <w:rFonts w:hint="default" w:ascii="Times New Roman" w:hAnsi="Times New Roman" w:cs="Times New Roman"/>
          <w:sz w:val="28"/>
          <w:szCs w:val="28"/>
        </w:rPr>
        <w:t>；X</w:t>
      </w:r>
      <w:r>
        <w:rPr>
          <w:rFonts w:hint="default" w:ascii="Times New Roman" w:hAnsi="Times New Roman" w:cs="Times New Roman"/>
          <w:sz w:val="28"/>
          <w:szCs w:val="28"/>
          <w:vertAlign w:val="subscript"/>
        </w:rPr>
        <w:t>2</w:t>
      </w:r>
      <w:r>
        <w:rPr>
          <w:rFonts w:hint="default" w:ascii="Times New Roman" w:hAnsi="Times New Roman" w:cs="Times New Roman"/>
          <w:sz w:val="28"/>
          <w:szCs w:val="28"/>
        </w:rPr>
        <w:t>：</w:t>
      </w:r>
      <w:r>
        <w:rPr>
          <w:snapToGrid w:val="0"/>
          <w:kern w:val="0"/>
          <w:sz w:val="24"/>
        </w:rPr>
        <w:t>3904132.640</w:t>
      </w:r>
      <w:r>
        <w:rPr>
          <w:rFonts w:hint="default" w:ascii="Times New Roman" w:hAnsi="Times New Roman" w:cs="Times New Roman"/>
          <w:sz w:val="28"/>
          <w:szCs w:val="28"/>
        </w:rPr>
        <w:t>、Y</w:t>
      </w:r>
      <w:r>
        <w:rPr>
          <w:rFonts w:hint="default" w:ascii="Times New Roman" w:hAnsi="Times New Roman" w:cs="Times New Roman"/>
          <w:sz w:val="28"/>
          <w:szCs w:val="28"/>
          <w:vertAlign w:val="subscript"/>
        </w:rPr>
        <w:t>2</w:t>
      </w:r>
      <w:r>
        <w:rPr>
          <w:rFonts w:hint="default" w:ascii="Times New Roman" w:hAnsi="Times New Roman" w:cs="Times New Roman"/>
          <w:sz w:val="28"/>
          <w:szCs w:val="28"/>
        </w:rPr>
        <w:t>：</w:t>
      </w:r>
      <w:r>
        <w:rPr>
          <w:snapToGrid w:val="0"/>
          <w:kern w:val="0"/>
          <w:sz w:val="24"/>
        </w:rPr>
        <w:t>38488788.860</w:t>
      </w:r>
      <w:r>
        <w:rPr>
          <w:rFonts w:hint="default" w:ascii="Times New Roman" w:hAnsi="Times New Roman" w:cs="Times New Roman"/>
          <w:sz w:val="28"/>
          <w:szCs w:val="28"/>
        </w:rPr>
        <w:t>；X</w:t>
      </w:r>
      <w:r>
        <w:rPr>
          <w:rFonts w:hint="default" w:ascii="Times New Roman" w:hAnsi="Times New Roman" w:cs="Times New Roman"/>
          <w:sz w:val="28"/>
          <w:szCs w:val="28"/>
          <w:vertAlign w:val="subscript"/>
        </w:rPr>
        <w:t>3</w:t>
      </w:r>
      <w:r>
        <w:rPr>
          <w:rFonts w:hint="default" w:ascii="Times New Roman" w:hAnsi="Times New Roman" w:cs="Times New Roman"/>
          <w:sz w:val="28"/>
          <w:szCs w:val="28"/>
        </w:rPr>
        <w:t>：</w:t>
      </w:r>
      <w:r>
        <w:rPr>
          <w:snapToGrid w:val="0"/>
          <w:kern w:val="0"/>
          <w:sz w:val="24"/>
        </w:rPr>
        <w:t>3904121.856</w:t>
      </w:r>
      <w:r>
        <w:rPr>
          <w:rFonts w:hint="default" w:ascii="Times New Roman" w:hAnsi="Times New Roman" w:cs="Times New Roman"/>
          <w:sz w:val="28"/>
          <w:szCs w:val="28"/>
        </w:rPr>
        <w:t>、Y</w:t>
      </w:r>
      <w:r>
        <w:rPr>
          <w:rFonts w:hint="default" w:ascii="Times New Roman" w:hAnsi="Times New Roman" w:cs="Times New Roman"/>
          <w:sz w:val="28"/>
          <w:szCs w:val="28"/>
          <w:vertAlign w:val="subscript"/>
        </w:rPr>
        <w:t>3</w:t>
      </w:r>
      <w:r>
        <w:rPr>
          <w:rFonts w:hint="default" w:ascii="Times New Roman" w:hAnsi="Times New Roman" w:cs="Times New Roman"/>
          <w:sz w:val="28"/>
          <w:szCs w:val="28"/>
        </w:rPr>
        <w:t>：</w:t>
      </w:r>
      <w:r>
        <w:rPr>
          <w:snapToGrid w:val="0"/>
          <w:kern w:val="0"/>
          <w:sz w:val="24"/>
        </w:rPr>
        <w:t>38488793.769</w:t>
      </w:r>
      <w:r>
        <w:rPr>
          <w:rFonts w:hint="default" w:ascii="Times New Roman" w:hAnsi="Times New Roman" w:cs="Times New Roman"/>
          <w:sz w:val="28"/>
          <w:szCs w:val="28"/>
        </w:rPr>
        <w:t>；X</w:t>
      </w:r>
      <w:r>
        <w:rPr>
          <w:rFonts w:hint="default" w:ascii="Times New Roman" w:hAnsi="Times New Roman" w:cs="Times New Roman"/>
          <w:sz w:val="28"/>
          <w:szCs w:val="28"/>
          <w:vertAlign w:val="subscript"/>
        </w:rPr>
        <w:t>4</w:t>
      </w:r>
      <w:r>
        <w:rPr>
          <w:rFonts w:hint="default" w:ascii="Times New Roman" w:hAnsi="Times New Roman" w:cs="Times New Roman"/>
          <w:sz w:val="28"/>
          <w:szCs w:val="28"/>
        </w:rPr>
        <w:t>：</w:t>
      </w:r>
      <w:r>
        <w:rPr>
          <w:snapToGrid w:val="0"/>
          <w:kern w:val="0"/>
          <w:sz w:val="24"/>
        </w:rPr>
        <w:t>3904084.935</w:t>
      </w:r>
      <w:r>
        <w:rPr>
          <w:rFonts w:hint="default" w:ascii="Times New Roman" w:hAnsi="Times New Roman" w:cs="Times New Roman"/>
          <w:sz w:val="28"/>
          <w:szCs w:val="28"/>
        </w:rPr>
        <w:t>、Y</w:t>
      </w:r>
      <w:r>
        <w:rPr>
          <w:rFonts w:hint="default" w:ascii="Times New Roman" w:hAnsi="Times New Roman" w:cs="Times New Roman"/>
          <w:sz w:val="28"/>
          <w:szCs w:val="28"/>
          <w:vertAlign w:val="subscript"/>
        </w:rPr>
        <w:t>4</w:t>
      </w:r>
      <w:r>
        <w:rPr>
          <w:rFonts w:hint="default" w:ascii="Times New Roman" w:hAnsi="Times New Roman" w:cs="Times New Roman"/>
          <w:sz w:val="28"/>
          <w:szCs w:val="28"/>
        </w:rPr>
        <w:t>：</w:t>
      </w:r>
      <w:r>
        <w:rPr>
          <w:snapToGrid w:val="0"/>
          <w:kern w:val="0"/>
          <w:sz w:val="24"/>
        </w:rPr>
        <w:t>38488793.714</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X</w:t>
      </w:r>
      <w:r>
        <w:rPr>
          <w:rFonts w:hint="eastAsia" w:ascii="Times New Roman" w:hAnsi="Times New Roman" w:cs="Times New Roman"/>
          <w:sz w:val="28"/>
          <w:szCs w:val="28"/>
          <w:vertAlign w:val="subscript"/>
          <w:lang w:val="en-US" w:eastAsia="zh-CN"/>
        </w:rPr>
        <w:t>5</w:t>
      </w:r>
      <w:r>
        <w:rPr>
          <w:rFonts w:hint="eastAsia" w:ascii="Times New Roman" w:hAnsi="Times New Roman" w:cs="Times New Roman"/>
          <w:sz w:val="28"/>
          <w:szCs w:val="28"/>
          <w:lang w:val="en-US" w:eastAsia="zh-CN"/>
        </w:rPr>
        <w:t>：</w:t>
      </w:r>
      <w:r>
        <w:rPr>
          <w:snapToGrid w:val="0"/>
          <w:kern w:val="0"/>
          <w:sz w:val="24"/>
        </w:rPr>
        <w:t>3904055.228</w:t>
      </w:r>
      <w:r>
        <w:rPr>
          <w:rFonts w:hint="eastAsia" w:ascii="Times New Roman" w:hAnsi="Times New Roman" w:cs="Times New Roman"/>
          <w:sz w:val="28"/>
          <w:szCs w:val="28"/>
          <w:lang w:val="en-US" w:eastAsia="zh-CN"/>
        </w:rPr>
        <w:t>、Y</w:t>
      </w:r>
      <w:r>
        <w:rPr>
          <w:rFonts w:hint="eastAsia" w:ascii="Times New Roman" w:hAnsi="Times New Roman" w:cs="Times New Roman"/>
          <w:sz w:val="28"/>
          <w:szCs w:val="28"/>
          <w:vertAlign w:val="subscript"/>
          <w:lang w:val="en-US" w:eastAsia="zh-CN"/>
        </w:rPr>
        <w:t>6</w:t>
      </w:r>
      <w:r>
        <w:rPr>
          <w:rFonts w:hint="eastAsia" w:ascii="Times New Roman" w:hAnsi="Times New Roman" w:cs="Times New Roman"/>
          <w:sz w:val="28"/>
          <w:szCs w:val="28"/>
          <w:lang w:val="en-US" w:eastAsia="zh-CN"/>
        </w:rPr>
        <w:t>：</w:t>
      </w:r>
      <w:r>
        <w:rPr>
          <w:snapToGrid w:val="0"/>
          <w:kern w:val="0"/>
          <w:sz w:val="24"/>
        </w:rPr>
        <w:t>38488523.174</w:t>
      </w:r>
      <w:r>
        <w:rPr>
          <w:rFonts w:hint="eastAsia"/>
          <w:snapToGrid w:val="0"/>
          <w:kern w:val="0"/>
          <w:sz w:val="24"/>
          <w:lang w:eastAsia="zh-CN"/>
        </w:rPr>
        <w:t>。</w:t>
      </w:r>
      <w:r>
        <w:rPr>
          <w:rFonts w:hint="default" w:ascii="Times New Roman" w:hAnsi="Times New Roman" w:cs="Times New Roman"/>
          <w:sz w:val="28"/>
          <w:szCs w:val="28"/>
        </w:rPr>
        <w:t>望接受委托后，尽快组织有关技术人员展开工作！</w:t>
      </w:r>
    </w:p>
    <w:p>
      <w:pPr>
        <w:widowControl/>
        <w:spacing w:line="360" w:lineRule="auto"/>
        <w:ind w:firstLine="560" w:firstLineChars="200"/>
        <w:jc w:val="left"/>
        <w:rPr>
          <w:rFonts w:hint="default" w:ascii="Times New Roman" w:hAnsi="Times New Roman" w:cs="Times New Roman"/>
          <w:sz w:val="28"/>
          <w:szCs w:val="28"/>
        </w:rPr>
      </w:pPr>
      <w:r>
        <w:rPr>
          <w:rFonts w:hint="default" w:ascii="Times New Roman" w:hAnsi="Times New Roman" w:cs="Times New Roman"/>
          <w:sz w:val="28"/>
          <w:szCs w:val="28"/>
        </w:rPr>
        <w:t>特此委托！</w:t>
      </w:r>
    </w:p>
    <w:p>
      <w:pPr>
        <w:widowControl/>
        <w:spacing w:line="360" w:lineRule="auto"/>
        <w:ind w:firstLine="560" w:firstLineChars="200"/>
        <w:jc w:val="left"/>
        <w:rPr>
          <w:rFonts w:hAnsi="宋体"/>
          <w:sz w:val="28"/>
          <w:szCs w:val="28"/>
        </w:rPr>
      </w:pPr>
    </w:p>
    <w:p>
      <w:pPr>
        <w:widowControl/>
        <w:spacing w:line="360" w:lineRule="auto"/>
        <w:ind w:firstLine="1400" w:firstLineChars="500"/>
        <w:jc w:val="right"/>
        <w:rPr>
          <w:rFonts w:hint="eastAsia" w:hAnsi="宋体" w:eastAsia="宋体"/>
          <w:sz w:val="28"/>
          <w:szCs w:val="28"/>
          <w:lang w:eastAsia="zh-CN"/>
        </w:rPr>
      </w:pPr>
      <w:r>
        <w:rPr>
          <w:rFonts w:hint="eastAsia" w:hAnsi="宋体"/>
          <w:sz w:val="28"/>
          <w:szCs w:val="28"/>
        </w:rPr>
        <w:t>委托单位：</w:t>
      </w:r>
      <w:r>
        <w:rPr>
          <w:rFonts w:hint="eastAsia" w:hAnsi="宋体"/>
          <w:sz w:val="28"/>
          <w:szCs w:val="28"/>
          <w:lang w:eastAsia="zh-CN"/>
        </w:rPr>
        <w:t>河南经济贸易技师学校</w:t>
      </w:r>
    </w:p>
    <w:p>
      <w:pPr>
        <w:adjustRightInd w:val="0"/>
        <w:snapToGrid w:val="0"/>
        <w:spacing w:line="360" w:lineRule="auto"/>
        <w:jc w:val="right"/>
        <w:rPr>
          <w:rFonts w:hAnsi="宋体"/>
          <w:sz w:val="28"/>
          <w:szCs w:val="28"/>
        </w:rPr>
      </w:pPr>
      <w:r>
        <w:rPr>
          <w:rFonts w:hint="eastAsia" w:hAnsi="宋体"/>
          <w:sz w:val="28"/>
          <w:szCs w:val="28"/>
        </w:rPr>
        <w:t>2020年</w:t>
      </w:r>
      <w:r>
        <w:rPr>
          <w:rFonts w:hint="eastAsia" w:hAnsi="宋体"/>
          <w:sz w:val="28"/>
          <w:szCs w:val="28"/>
          <w:lang w:val="en-US" w:eastAsia="zh-CN"/>
        </w:rPr>
        <w:t xml:space="preserve">9月25 </w:t>
      </w:r>
      <w:r>
        <w:rPr>
          <w:rFonts w:hint="eastAsia" w:hAnsi="宋体"/>
          <w:sz w:val="28"/>
          <w:szCs w:val="28"/>
        </w:rPr>
        <w:t>日</w:t>
      </w:r>
    </w:p>
    <w:p>
      <w:pPr>
        <w:widowControl/>
        <w:spacing w:line="360" w:lineRule="auto"/>
        <w:ind w:firstLine="480" w:firstLineChars="200"/>
        <w:jc w:val="left"/>
        <w:rPr>
          <w:rFonts w:hAnsi="宋体"/>
          <w:sz w:val="24"/>
          <w:szCs w:val="24"/>
        </w:rPr>
      </w:pPr>
      <w:bookmarkStart w:id="551" w:name="_Toc27577087"/>
      <w:bookmarkStart w:id="552" w:name="_Toc23952"/>
      <w:bookmarkStart w:id="553" w:name="_Toc31424"/>
      <w:bookmarkStart w:id="554" w:name="_Toc31384"/>
      <w:bookmarkStart w:id="555" w:name="_Toc12467"/>
      <w:bookmarkStart w:id="556" w:name="_Toc24693"/>
    </w:p>
    <w:p>
      <w:pPr>
        <w:widowControl/>
        <w:spacing w:line="360" w:lineRule="auto"/>
        <w:ind w:firstLine="480" w:firstLineChars="200"/>
        <w:jc w:val="left"/>
        <w:rPr>
          <w:rFonts w:hAnsi="宋体"/>
          <w:sz w:val="24"/>
          <w:szCs w:val="24"/>
        </w:rPr>
      </w:pPr>
    </w:p>
    <w:p>
      <w:pPr>
        <w:widowControl/>
        <w:spacing w:line="360" w:lineRule="auto"/>
        <w:ind w:firstLine="480" w:firstLineChars="200"/>
        <w:jc w:val="left"/>
        <w:rPr>
          <w:rFonts w:hAnsi="宋体"/>
          <w:sz w:val="24"/>
          <w:szCs w:val="24"/>
        </w:rPr>
      </w:pPr>
    </w:p>
    <w:p>
      <w:pPr>
        <w:widowControl/>
        <w:spacing w:line="360" w:lineRule="auto"/>
        <w:ind w:firstLine="480" w:firstLineChars="200"/>
        <w:jc w:val="left"/>
        <w:rPr>
          <w:rFonts w:hAnsi="宋体"/>
          <w:sz w:val="24"/>
          <w:szCs w:val="24"/>
        </w:rPr>
      </w:pPr>
    </w:p>
    <w:p>
      <w:pPr>
        <w:widowControl/>
        <w:spacing w:line="360" w:lineRule="auto"/>
        <w:jc w:val="left"/>
        <w:rPr>
          <w:rFonts w:hAnsi="宋体"/>
          <w:sz w:val="24"/>
          <w:szCs w:val="24"/>
        </w:rPr>
      </w:pPr>
    </w:p>
    <w:p>
      <w:pPr>
        <w:widowControl/>
        <w:spacing w:line="360" w:lineRule="auto"/>
        <w:ind w:firstLine="480" w:firstLineChars="200"/>
        <w:jc w:val="left"/>
        <w:rPr>
          <w:rFonts w:hAnsi="宋体"/>
          <w:sz w:val="24"/>
          <w:szCs w:val="24"/>
        </w:rPr>
      </w:pPr>
    </w:p>
    <w:p>
      <w:pPr>
        <w:widowControl/>
        <w:spacing w:line="360" w:lineRule="auto"/>
        <w:jc w:val="left"/>
        <w:outlineLvl w:val="0"/>
        <w:rPr>
          <w:rFonts w:hAnsi="宋体"/>
          <w:b/>
          <w:bCs/>
          <w:sz w:val="28"/>
          <w:szCs w:val="28"/>
        </w:rPr>
      </w:pPr>
      <w:bookmarkStart w:id="557" w:name="_Toc29810"/>
      <w:bookmarkStart w:id="558" w:name="_Toc21368"/>
      <w:bookmarkStart w:id="559" w:name="_Toc30831"/>
      <w:bookmarkStart w:id="560" w:name="_Toc231"/>
      <w:bookmarkStart w:id="561" w:name="_Toc25893"/>
      <w:r>
        <w:rPr>
          <w:rFonts w:hint="eastAsia" w:hAnsi="宋体"/>
          <w:b/>
          <w:bCs/>
          <w:sz w:val="28"/>
          <w:szCs w:val="28"/>
        </w:rPr>
        <w:t>附件2</w:t>
      </w:r>
      <w:r>
        <w:rPr>
          <w:rFonts w:hint="eastAsia" w:hAnsi="宋体"/>
          <w:b/>
          <w:bCs/>
          <w:sz w:val="28"/>
          <w:szCs w:val="28"/>
          <w:lang w:val="en-US" w:eastAsia="zh-CN"/>
        </w:rPr>
        <w:t xml:space="preserve"> </w:t>
      </w:r>
      <w:r>
        <w:rPr>
          <w:rFonts w:hint="eastAsia" w:hAnsi="宋体"/>
          <w:b/>
          <w:bCs/>
          <w:sz w:val="28"/>
          <w:szCs w:val="28"/>
        </w:rPr>
        <w:t>承诺书</w:t>
      </w:r>
      <w:bookmarkEnd w:id="551"/>
      <w:bookmarkEnd w:id="552"/>
      <w:bookmarkEnd w:id="553"/>
      <w:bookmarkEnd w:id="554"/>
      <w:bookmarkEnd w:id="555"/>
      <w:bookmarkEnd w:id="556"/>
      <w:bookmarkEnd w:id="557"/>
      <w:bookmarkEnd w:id="558"/>
      <w:bookmarkEnd w:id="559"/>
      <w:bookmarkEnd w:id="560"/>
      <w:bookmarkEnd w:id="561"/>
    </w:p>
    <w:p>
      <w:pPr>
        <w:widowControl/>
        <w:spacing w:line="360" w:lineRule="auto"/>
        <w:ind w:firstLine="560" w:firstLineChars="200"/>
        <w:jc w:val="center"/>
        <w:rPr>
          <w:rFonts w:hAnsi="宋体"/>
          <w:sz w:val="28"/>
          <w:szCs w:val="28"/>
        </w:rPr>
      </w:pPr>
      <w:r>
        <w:rPr>
          <w:rFonts w:hint="eastAsia" w:hAnsi="宋体"/>
          <w:sz w:val="28"/>
          <w:szCs w:val="28"/>
        </w:rPr>
        <w:t>报告出具单位承诺书</w:t>
      </w:r>
    </w:p>
    <w:p>
      <w:pPr>
        <w:widowControl/>
        <w:spacing w:line="360" w:lineRule="auto"/>
        <w:jc w:val="left"/>
        <w:rPr>
          <w:rFonts w:hAnsi="宋体"/>
          <w:sz w:val="28"/>
          <w:szCs w:val="28"/>
        </w:rPr>
      </w:pPr>
      <w:r>
        <w:rPr>
          <w:rFonts w:hint="eastAsia" w:hAnsi="宋体"/>
          <w:sz w:val="28"/>
          <w:szCs w:val="28"/>
        </w:rPr>
        <w:t>本单位郑重承诺：</w:t>
      </w:r>
    </w:p>
    <w:p>
      <w:pPr>
        <w:widowControl/>
        <w:spacing w:line="360" w:lineRule="auto"/>
        <w:ind w:firstLine="560" w:firstLineChars="200"/>
        <w:jc w:val="left"/>
        <w:rPr>
          <w:rFonts w:hAnsi="宋体"/>
          <w:sz w:val="28"/>
          <w:szCs w:val="28"/>
        </w:rPr>
      </w:pPr>
      <w:r>
        <w:rPr>
          <w:rFonts w:hint="eastAsia" w:hAnsi="宋体"/>
          <w:sz w:val="28"/>
          <w:szCs w:val="28"/>
        </w:rPr>
        <w:t>我单位对土壤污染状况初步调查报告的真实性、准确性、完整性负责。</w:t>
      </w:r>
    </w:p>
    <w:p>
      <w:pPr>
        <w:widowControl/>
        <w:spacing w:line="360" w:lineRule="auto"/>
        <w:ind w:firstLine="560" w:firstLineChars="200"/>
        <w:jc w:val="left"/>
        <w:rPr>
          <w:rFonts w:hAnsi="宋体"/>
          <w:sz w:val="28"/>
          <w:szCs w:val="28"/>
        </w:rPr>
      </w:pPr>
      <w:r>
        <w:rPr>
          <w:rFonts w:hint="eastAsia" w:hAnsi="宋体"/>
          <w:sz w:val="28"/>
          <w:szCs w:val="28"/>
        </w:rPr>
        <w:t>本报告直接负责的主管人员是：</w:t>
      </w:r>
    </w:p>
    <w:p>
      <w:pPr>
        <w:widowControl/>
        <w:spacing w:line="360" w:lineRule="auto"/>
        <w:jc w:val="left"/>
        <w:rPr>
          <w:rFonts w:hAnsi="宋体"/>
          <w:sz w:val="28"/>
          <w:szCs w:val="28"/>
        </w:rPr>
      </w:pPr>
      <w:r>
        <w:rPr>
          <w:rFonts w:hint="eastAsia" w:hAnsi="宋体"/>
          <w:sz w:val="28"/>
          <w:szCs w:val="28"/>
        </w:rPr>
        <w:t>姓名：</w:t>
      </w:r>
      <w:r>
        <w:rPr>
          <w:rFonts w:hint="eastAsia" w:hAnsi="宋体"/>
          <w:sz w:val="28"/>
          <w:szCs w:val="28"/>
          <w:lang w:val="en-US" w:eastAsia="zh-CN"/>
        </w:rPr>
        <w:t xml:space="preserve">李娇娇 </w:t>
      </w:r>
      <w:r>
        <w:rPr>
          <w:rFonts w:hint="eastAsia" w:hAnsi="宋体"/>
          <w:sz w:val="28"/>
          <w:szCs w:val="28"/>
        </w:rPr>
        <w:t>身份证号：</w:t>
      </w:r>
      <w:r>
        <w:rPr>
          <w:rFonts w:hint="eastAsia" w:hAnsi="宋体"/>
          <w:sz w:val="28"/>
          <w:szCs w:val="28"/>
          <w:lang w:val="en-US" w:eastAsia="zh-CN"/>
        </w:rPr>
        <w:t xml:space="preserve">341226198901026380    </w:t>
      </w:r>
      <w:r>
        <w:rPr>
          <w:rFonts w:hint="eastAsia" w:hAnsi="宋体"/>
          <w:sz w:val="28"/>
          <w:szCs w:val="28"/>
        </w:rPr>
        <w:t>签字：</w:t>
      </w:r>
    </w:p>
    <w:p>
      <w:pPr>
        <w:widowControl/>
        <w:spacing w:line="360" w:lineRule="auto"/>
        <w:ind w:firstLine="560" w:firstLineChars="200"/>
        <w:jc w:val="left"/>
        <w:rPr>
          <w:rFonts w:hint="eastAsia" w:hAnsi="宋体"/>
          <w:sz w:val="28"/>
          <w:szCs w:val="28"/>
        </w:rPr>
      </w:pPr>
      <w:r>
        <w:rPr>
          <w:rFonts w:hint="eastAsia" w:hAnsi="宋体"/>
          <w:sz w:val="28"/>
          <w:szCs w:val="28"/>
        </w:rPr>
        <w:t>报告编写直接责任人员包括：</w:t>
      </w:r>
    </w:p>
    <w:p>
      <w:pPr>
        <w:widowControl/>
        <w:spacing w:line="360" w:lineRule="auto"/>
        <w:jc w:val="left"/>
        <w:rPr>
          <w:rFonts w:hAnsi="宋体"/>
          <w:sz w:val="28"/>
          <w:szCs w:val="28"/>
        </w:rPr>
      </w:pPr>
      <w:r>
        <w:rPr>
          <w:rFonts w:hint="eastAsia" w:hAnsi="宋体"/>
          <w:sz w:val="28"/>
          <w:szCs w:val="28"/>
        </w:rPr>
        <w:t>姓名：</w:t>
      </w:r>
      <w:r>
        <w:rPr>
          <w:rFonts w:hint="eastAsia" w:hAnsi="宋体"/>
          <w:sz w:val="28"/>
          <w:szCs w:val="28"/>
          <w:lang w:val="en-US" w:eastAsia="zh-CN"/>
        </w:rPr>
        <w:t xml:space="preserve">苏春颖 </w:t>
      </w:r>
      <w:r>
        <w:rPr>
          <w:rFonts w:hint="eastAsia" w:hAnsi="宋体"/>
          <w:sz w:val="28"/>
          <w:szCs w:val="28"/>
        </w:rPr>
        <w:t>身份证号：</w:t>
      </w:r>
      <w:r>
        <w:rPr>
          <w:rFonts w:hint="eastAsia" w:hAnsi="宋体"/>
          <w:sz w:val="28"/>
          <w:szCs w:val="28"/>
          <w:lang w:val="en-US" w:eastAsia="zh-CN"/>
        </w:rPr>
        <w:t>152823199802270023</w:t>
      </w:r>
      <w:r>
        <w:rPr>
          <w:rFonts w:hint="eastAsia" w:hAnsi="宋体"/>
          <w:sz w:val="28"/>
          <w:szCs w:val="28"/>
        </w:rPr>
        <w:t>负责篇章：1、2、3签字：</w:t>
      </w:r>
    </w:p>
    <w:p>
      <w:pPr>
        <w:widowControl/>
        <w:spacing w:line="360" w:lineRule="auto"/>
        <w:jc w:val="left"/>
        <w:rPr>
          <w:rFonts w:hAnsi="宋体"/>
          <w:sz w:val="28"/>
          <w:szCs w:val="28"/>
        </w:rPr>
      </w:pPr>
      <w:r>
        <w:rPr>
          <w:rFonts w:hint="eastAsia" w:hAnsi="宋体"/>
          <w:sz w:val="28"/>
          <w:szCs w:val="28"/>
        </w:rPr>
        <w:t>姓名：</w:t>
      </w:r>
      <w:r>
        <w:rPr>
          <w:rFonts w:hint="eastAsia" w:hAnsi="宋体"/>
          <w:sz w:val="28"/>
          <w:szCs w:val="28"/>
          <w:lang w:val="en-US" w:eastAsia="zh-CN"/>
        </w:rPr>
        <w:t xml:space="preserve">杜路豪 </w:t>
      </w:r>
      <w:r>
        <w:rPr>
          <w:rFonts w:hint="eastAsia" w:hAnsi="宋体"/>
          <w:sz w:val="28"/>
          <w:szCs w:val="28"/>
        </w:rPr>
        <w:t>身份证号：</w:t>
      </w:r>
      <w:r>
        <w:rPr>
          <w:rFonts w:hint="eastAsia" w:hAnsi="宋体"/>
          <w:sz w:val="28"/>
          <w:szCs w:val="28"/>
          <w:lang w:val="en-US" w:eastAsia="zh-CN"/>
        </w:rPr>
        <w:t>410782199410091938</w:t>
      </w:r>
      <w:r>
        <w:rPr>
          <w:rFonts w:hint="eastAsia" w:hAnsi="宋体"/>
          <w:sz w:val="28"/>
          <w:szCs w:val="28"/>
        </w:rPr>
        <w:t>负责篇章：4、5、6签字：</w:t>
      </w:r>
    </w:p>
    <w:p>
      <w:pPr>
        <w:widowControl/>
        <w:spacing w:line="360" w:lineRule="auto"/>
        <w:ind w:firstLine="560" w:firstLineChars="200"/>
        <w:jc w:val="left"/>
        <w:rPr>
          <w:rFonts w:hAnsi="宋体"/>
          <w:sz w:val="28"/>
          <w:szCs w:val="28"/>
        </w:rPr>
      </w:pPr>
      <w:r>
        <w:rPr>
          <w:rFonts w:hint="eastAsia" w:hAnsi="宋体"/>
          <w:sz w:val="28"/>
          <w:szCs w:val="28"/>
        </w:rPr>
        <w:t>如出具虚假报告，愿意承担全部法律责任</w:t>
      </w:r>
    </w:p>
    <w:p>
      <w:pPr>
        <w:widowControl/>
        <w:spacing w:line="360" w:lineRule="auto"/>
        <w:ind w:firstLine="5600" w:firstLineChars="2000"/>
        <w:jc w:val="left"/>
        <w:rPr>
          <w:rFonts w:hAnsi="宋体"/>
          <w:sz w:val="28"/>
          <w:szCs w:val="28"/>
        </w:rPr>
      </w:pPr>
    </w:p>
    <w:p>
      <w:pPr>
        <w:widowControl/>
        <w:spacing w:line="360" w:lineRule="auto"/>
        <w:ind w:firstLine="5040" w:firstLineChars="1800"/>
        <w:jc w:val="left"/>
        <w:rPr>
          <w:rFonts w:hAnsi="宋体"/>
          <w:sz w:val="28"/>
          <w:szCs w:val="28"/>
        </w:rPr>
      </w:pPr>
      <w:r>
        <w:rPr>
          <w:rFonts w:hint="eastAsia" w:hAnsi="宋体"/>
          <w:sz w:val="28"/>
          <w:szCs w:val="28"/>
        </w:rPr>
        <w:t>承诺单位：（公章）</w:t>
      </w:r>
    </w:p>
    <w:p>
      <w:pPr>
        <w:widowControl/>
        <w:spacing w:line="360" w:lineRule="auto"/>
        <w:ind w:firstLine="5040" w:firstLineChars="1800"/>
        <w:jc w:val="left"/>
        <w:rPr>
          <w:rFonts w:hAnsi="宋体"/>
          <w:sz w:val="28"/>
          <w:szCs w:val="28"/>
        </w:rPr>
      </w:pPr>
      <w:r>
        <w:rPr>
          <w:rFonts w:hint="eastAsia" w:hAnsi="宋体"/>
          <w:sz w:val="28"/>
          <w:szCs w:val="28"/>
        </w:rPr>
        <w:t>法定代表人：</w:t>
      </w:r>
      <w:r>
        <w:rPr>
          <w:rFonts w:hint="eastAsia" w:hAnsi="宋体"/>
          <w:sz w:val="28"/>
          <w:szCs w:val="28"/>
          <w:lang w:val="en-US" w:eastAsia="zh-CN"/>
        </w:rPr>
        <w:t xml:space="preserve">     </w:t>
      </w:r>
      <w:r>
        <w:rPr>
          <w:rFonts w:hint="eastAsia" w:hAnsi="宋体"/>
          <w:sz w:val="28"/>
          <w:szCs w:val="28"/>
        </w:rPr>
        <w:t>（签字）</w:t>
      </w:r>
    </w:p>
    <w:p>
      <w:pPr>
        <w:widowControl/>
        <w:spacing w:line="360" w:lineRule="auto"/>
        <w:ind w:firstLine="5880" w:firstLineChars="2100"/>
        <w:jc w:val="left"/>
        <w:rPr>
          <w:rFonts w:hAnsi="宋体"/>
          <w:sz w:val="28"/>
          <w:szCs w:val="28"/>
        </w:rPr>
      </w:pPr>
      <w:r>
        <w:rPr>
          <w:rFonts w:hint="eastAsia" w:hAnsi="宋体"/>
          <w:sz w:val="28"/>
          <w:szCs w:val="28"/>
          <w:lang w:val="en-US" w:eastAsia="zh-CN"/>
        </w:rPr>
        <w:t>2020</w:t>
      </w:r>
      <w:r>
        <w:rPr>
          <w:rFonts w:hint="eastAsia" w:hAnsi="宋体"/>
          <w:sz w:val="28"/>
          <w:szCs w:val="28"/>
        </w:rPr>
        <w:t>年</w:t>
      </w:r>
      <w:r>
        <w:rPr>
          <w:rFonts w:hint="eastAsia" w:hAnsi="宋体"/>
          <w:sz w:val="28"/>
          <w:szCs w:val="28"/>
          <w:lang w:val="en-US" w:eastAsia="zh-CN"/>
        </w:rPr>
        <w:t xml:space="preserve"> 10</w:t>
      </w:r>
      <w:r>
        <w:rPr>
          <w:rFonts w:hint="eastAsia" w:hAnsi="宋体"/>
          <w:sz w:val="28"/>
          <w:szCs w:val="28"/>
        </w:rPr>
        <w:t>月</w:t>
      </w:r>
      <w:r>
        <w:rPr>
          <w:rFonts w:hint="eastAsia" w:hAnsi="宋体"/>
          <w:sz w:val="28"/>
          <w:szCs w:val="28"/>
          <w:lang w:val="en-US" w:eastAsia="zh-CN"/>
        </w:rPr>
        <w:t>25</w:t>
      </w:r>
      <w:r>
        <w:rPr>
          <w:rFonts w:hint="eastAsia" w:hAnsi="宋体"/>
          <w:sz w:val="28"/>
          <w:szCs w:val="28"/>
        </w:rPr>
        <w:t>日</w:t>
      </w:r>
    </w:p>
    <w:p>
      <w:pPr>
        <w:widowControl/>
        <w:spacing w:line="360" w:lineRule="auto"/>
        <w:jc w:val="left"/>
        <w:rPr>
          <w:rFonts w:hAnsi="宋体"/>
          <w:sz w:val="24"/>
          <w:szCs w:val="24"/>
        </w:rPr>
      </w:pPr>
      <w:bookmarkStart w:id="562" w:name="_Toc1091"/>
    </w:p>
    <w:p>
      <w:pPr>
        <w:widowControl/>
        <w:spacing w:line="360" w:lineRule="auto"/>
        <w:jc w:val="left"/>
        <w:rPr>
          <w:rFonts w:hAnsi="宋体"/>
          <w:sz w:val="24"/>
          <w:szCs w:val="24"/>
        </w:rPr>
      </w:pPr>
    </w:p>
    <w:p>
      <w:pPr>
        <w:widowControl/>
        <w:spacing w:line="360" w:lineRule="auto"/>
        <w:jc w:val="left"/>
        <w:rPr>
          <w:rFonts w:hAnsi="宋体"/>
          <w:sz w:val="24"/>
          <w:szCs w:val="24"/>
        </w:rPr>
      </w:pPr>
    </w:p>
    <w:p>
      <w:pPr>
        <w:widowControl/>
        <w:spacing w:line="360" w:lineRule="auto"/>
        <w:jc w:val="left"/>
        <w:rPr>
          <w:rFonts w:hAnsi="宋体"/>
          <w:sz w:val="24"/>
          <w:szCs w:val="24"/>
        </w:rPr>
      </w:pPr>
    </w:p>
    <w:p>
      <w:pPr>
        <w:widowControl/>
        <w:spacing w:line="360" w:lineRule="auto"/>
        <w:jc w:val="left"/>
        <w:rPr>
          <w:rFonts w:hAnsi="宋体"/>
          <w:sz w:val="24"/>
          <w:szCs w:val="24"/>
        </w:rPr>
      </w:pPr>
    </w:p>
    <w:p>
      <w:pPr>
        <w:widowControl/>
        <w:spacing w:line="360" w:lineRule="auto"/>
        <w:jc w:val="left"/>
        <w:rPr>
          <w:rFonts w:hAnsi="宋体"/>
          <w:sz w:val="24"/>
          <w:szCs w:val="24"/>
        </w:rPr>
      </w:pPr>
    </w:p>
    <w:p>
      <w:pPr>
        <w:widowControl/>
        <w:spacing w:line="360" w:lineRule="auto"/>
        <w:jc w:val="left"/>
        <w:rPr>
          <w:rFonts w:hAnsi="宋体"/>
          <w:sz w:val="24"/>
          <w:szCs w:val="24"/>
        </w:rPr>
      </w:pPr>
    </w:p>
    <w:p>
      <w:pPr>
        <w:widowControl/>
        <w:spacing w:line="360" w:lineRule="auto"/>
        <w:jc w:val="left"/>
        <w:rPr>
          <w:rFonts w:hAnsi="宋体"/>
          <w:sz w:val="24"/>
          <w:szCs w:val="24"/>
        </w:rPr>
      </w:pPr>
    </w:p>
    <w:p>
      <w:pPr>
        <w:widowControl/>
        <w:spacing w:line="360" w:lineRule="auto"/>
        <w:jc w:val="left"/>
        <w:rPr>
          <w:rFonts w:hAnsi="宋体"/>
          <w:sz w:val="24"/>
          <w:szCs w:val="24"/>
        </w:rPr>
      </w:pPr>
    </w:p>
    <w:p>
      <w:pPr>
        <w:jc w:val="left"/>
        <w:rPr>
          <w:rFonts w:hint="eastAsia" w:hAnsi="宋体" w:eastAsia="宋体"/>
          <w:b/>
          <w:bCs/>
          <w:color w:val="auto"/>
          <w:sz w:val="28"/>
          <w:szCs w:val="28"/>
          <w:lang w:eastAsia="zh-CN"/>
        </w:rPr>
      </w:pPr>
      <w:bookmarkStart w:id="563" w:name="_Toc28633"/>
      <w:bookmarkStart w:id="564" w:name="_Toc12915"/>
      <w:bookmarkStart w:id="565" w:name="_Toc28844"/>
      <w:bookmarkStart w:id="566" w:name="_Toc28282"/>
      <w:r>
        <w:rPr>
          <w:rFonts w:hint="eastAsia" w:hAnsi="宋体"/>
          <w:b/>
          <w:bCs/>
          <w:color w:val="auto"/>
          <w:sz w:val="28"/>
          <w:szCs w:val="28"/>
        </w:rPr>
        <w:t>附件3</w:t>
      </w:r>
      <w:r>
        <w:rPr>
          <w:rFonts w:hint="eastAsia" w:hAnsi="宋体"/>
          <w:b/>
          <w:bCs/>
          <w:color w:val="auto"/>
          <w:sz w:val="28"/>
          <w:szCs w:val="28"/>
          <w:lang w:val="en-US" w:eastAsia="zh-CN"/>
        </w:rPr>
        <w:t xml:space="preserve">  </w:t>
      </w:r>
      <w:r>
        <w:rPr>
          <w:rFonts w:hint="eastAsia" w:hAnsi="宋体"/>
          <w:b/>
          <w:bCs/>
          <w:color w:val="auto"/>
          <w:sz w:val="28"/>
          <w:szCs w:val="28"/>
        </w:rPr>
        <w:t>专家意见</w:t>
      </w:r>
      <w:bookmarkEnd w:id="562"/>
      <w:bookmarkEnd w:id="563"/>
      <w:bookmarkEnd w:id="564"/>
      <w:bookmarkEnd w:id="565"/>
      <w:bookmarkEnd w:id="566"/>
      <w:r>
        <w:rPr>
          <w:rFonts w:hint="eastAsia" w:hAnsi="宋体" w:eastAsia="宋体"/>
          <w:b/>
          <w:bCs/>
          <w:color w:val="auto"/>
          <w:sz w:val="28"/>
          <w:szCs w:val="28"/>
          <w:lang w:eastAsia="zh-CN"/>
        </w:rPr>
        <w:drawing>
          <wp:inline distT="0" distB="0" distL="114300" distR="114300">
            <wp:extent cx="5273040" cy="7315200"/>
            <wp:effectExtent l="0" t="0" r="3810" b="0"/>
            <wp:docPr id="36" name="图片 36" descr="专家意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专家意见1"/>
                    <pic:cNvPicPr>
                      <a:picLocks noChangeAspect="1"/>
                    </pic:cNvPicPr>
                  </pic:nvPicPr>
                  <pic:blipFill>
                    <a:blip r:embed="rId37"/>
                    <a:stretch>
                      <a:fillRect/>
                    </a:stretch>
                  </pic:blipFill>
                  <pic:spPr>
                    <a:xfrm>
                      <a:off x="0" y="0"/>
                      <a:ext cx="5273040" cy="7315200"/>
                    </a:xfrm>
                    <a:prstGeom prst="rect">
                      <a:avLst/>
                    </a:prstGeom>
                  </pic:spPr>
                </pic:pic>
              </a:graphicData>
            </a:graphic>
          </wp:inline>
        </w:drawing>
      </w:r>
    </w:p>
    <w:p>
      <w:pPr>
        <w:jc w:val="left"/>
        <w:rPr>
          <w:rFonts w:hint="eastAsia" w:hAnsi="宋体"/>
          <w:b/>
          <w:bCs/>
          <w:color w:val="auto"/>
          <w:sz w:val="28"/>
          <w:szCs w:val="28"/>
        </w:rPr>
      </w:pPr>
    </w:p>
    <w:p>
      <w:pPr>
        <w:jc w:val="left"/>
        <w:rPr>
          <w:rFonts w:hint="eastAsia" w:hAnsi="宋体"/>
          <w:b/>
          <w:bCs/>
          <w:color w:val="auto"/>
          <w:sz w:val="28"/>
          <w:szCs w:val="28"/>
        </w:rPr>
      </w:pPr>
    </w:p>
    <w:p>
      <w:pPr>
        <w:jc w:val="left"/>
        <w:rPr>
          <w:rFonts w:hint="eastAsia" w:hAnsi="宋体"/>
          <w:b/>
          <w:bCs/>
          <w:color w:val="auto"/>
          <w:sz w:val="28"/>
          <w:szCs w:val="28"/>
        </w:rPr>
      </w:pPr>
    </w:p>
    <w:p>
      <w:pPr>
        <w:jc w:val="left"/>
        <w:rPr>
          <w:rFonts w:hint="eastAsia" w:hAnsi="宋体" w:eastAsia="宋体"/>
          <w:b/>
          <w:bCs/>
          <w:color w:val="auto"/>
          <w:sz w:val="28"/>
          <w:szCs w:val="28"/>
          <w:lang w:eastAsia="zh-CN"/>
        </w:rPr>
      </w:pPr>
      <w:r>
        <w:rPr>
          <w:rFonts w:hint="eastAsia" w:hAnsi="宋体" w:eastAsia="宋体"/>
          <w:b/>
          <w:bCs/>
          <w:color w:val="auto"/>
          <w:sz w:val="28"/>
          <w:szCs w:val="28"/>
          <w:lang w:eastAsia="zh-CN"/>
        </w:rPr>
        <w:drawing>
          <wp:inline distT="0" distB="0" distL="114300" distR="114300">
            <wp:extent cx="5273040" cy="7315200"/>
            <wp:effectExtent l="0" t="0" r="3810" b="0"/>
            <wp:docPr id="39" name="图片 39" descr="意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意见2"/>
                    <pic:cNvPicPr>
                      <a:picLocks noChangeAspect="1"/>
                    </pic:cNvPicPr>
                  </pic:nvPicPr>
                  <pic:blipFill>
                    <a:blip r:embed="rId38"/>
                    <a:stretch>
                      <a:fillRect/>
                    </a:stretch>
                  </pic:blipFill>
                  <pic:spPr>
                    <a:xfrm>
                      <a:off x="0" y="0"/>
                      <a:ext cx="5273040" cy="7315200"/>
                    </a:xfrm>
                    <a:prstGeom prst="rect">
                      <a:avLst/>
                    </a:prstGeom>
                  </pic:spPr>
                </pic:pic>
              </a:graphicData>
            </a:graphic>
          </wp:inline>
        </w:drawing>
      </w:r>
    </w:p>
    <w:p>
      <w:pPr>
        <w:jc w:val="left"/>
        <w:rPr>
          <w:rFonts w:hint="eastAsia" w:hAnsi="宋体"/>
          <w:b/>
          <w:bCs/>
          <w:color w:val="auto"/>
          <w:sz w:val="28"/>
          <w:szCs w:val="28"/>
        </w:rPr>
      </w:pPr>
    </w:p>
    <w:p>
      <w:pPr>
        <w:jc w:val="left"/>
        <w:rPr>
          <w:rFonts w:hint="eastAsia" w:hAnsi="宋体"/>
          <w:b/>
          <w:bCs/>
          <w:color w:val="auto"/>
          <w:sz w:val="28"/>
          <w:szCs w:val="28"/>
        </w:rPr>
        <w:sectPr>
          <w:footerReference r:id="rId5" w:type="default"/>
          <w:pgSz w:w="11906" w:h="16838"/>
          <w:pgMar w:top="1440" w:right="1800" w:bottom="1440" w:left="1800" w:header="851" w:footer="992" w:gutter="0"/>
          <w:cols w:space="425" w:num="1"/>
          <w:docGrid w:type="lines" w:linePitch="312" w:charSpace="0"/>
        </w:sectPr>
      </w:pPr>
    </w:p>
    <w:p>
      <w:pPr>
        <w:jc w:val="left"/>
        <w:rPr>
          <w:rFonts w:hint="eastAsia" w:hAnsi="宋体" w:eastAsia="宋体"/>
          <w:b/>
          <w:bCs/>
          <w:color w:val="auto"/>
          <w:sz w:val="28"/>
          <w:szCs w:val="28"/>
          <w:lang w:eastAsia="zh-CN"/>
        </w:rPr>
      </w:pPr>
      <w:r>
        <w:rPr>
          <w:rFonts w:hint="eastAsia" w:hAnsi="宋体"/>
          <w:b/>
          <w:bCs/>
          <w:color w:val="auto"/>
          <w:sz w:val="28"/>
          <w:szCs w:val="28"/>
        </w:rPr>
        <w:t>附件4</w:t>
      </w:r>
      <w:r>
        <w:rPr>
          <w:rFonts w:hint="eastAsia" w:hAnsi="宋体"/>
          <w:b/>
          <w:bCs/>
          <w:color w:val="auto"/>
          <w:sz w:val="28"/>
          <w:szCs w:val="28"/>
          <w:lang w:val="en-US" w:eastAsia="zh-CN"/>
        </w:rPr>
        <w:t xml:space="preserve"> 河南经济贸易技师学院扩建项目</w:t>
      </w:r>
      <w:r>
        <w:rPr>
          <w:rFonts w:hint="eastAsia" w:hAnsi="宋体"/>
          <w:b/>
          <w:bCs/>
          <w:color w:val="auto"/>
          <w:sz w:val="28"/>
          <w:szCs w:val="28"/>
        </w:rPr>
        <w:t>质控报告</w:t>
      </w:r>
      <w:r>
        <w:rPr>
          <w:rFonts w:hint="eastAsia" w:hAnsi="宋体" w:eastAsia="宋体"/>
          <w:b/>
          <w:bCs/>
          <w:color w:val="auto"/>
          <w:sz w:val="28"/>
          <w:szCs w:val="28"/>
          <w:lang w:eastAsia="zh-CN"/>
        </w:rPr>
        <w:drawing>
          <wp:inline distT="0" distB="0" distL="114300" distR="114300">
            <wp:extent cx="5229225" cy="7286625"/>
            <wp:effectExtent l="0" t="0" r="9525" b="9525"/>
            <wp:docPr id="14" name="图片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
                    <pic:cNvPicPr>
                      <a:picLocks noChangeAspect="1"/>
                    </pic:cNvPicPr>
                  </pic:nvPicPr>
                  <pic:blipFill>
                    <a:blip r:embed="rId39"/>
                    <a:stretch>
                      <a:fillRect/>
                    </a:stretch>
                  </pic:blipFill>
                  <pic:spPr>
                    <a:xfrm>
                      <a:off x="0" y="0"/>
                      <a:ext cx="5229225" cy="7286625"/>
                    </a:xfrm>
                    <a:prstGeom prst="rect">
                      <a:avLst/>
                    </a:prstGeom>
                  </pic:spPr>
                </pic:pic>
              </a:graphicData>
            </a:graphic>
          </wp:inline>
        </w:drawing>
      </w:r>
    </w:p>
    <w:p>
      <w:pPr>
        <w:rPr>
          <w:rFonts w:hint="eastAsia" w:hAnsi="宋体"/>
          <w:b/>
          <w:bCs/>
          <w:color w:val="auto"/>
          <w:sz w:val="28"/>
          <w:szCs w:val="28"/>
          <w:lang w:eastAsia="zh-CN"/>
        </w:rPr>
      </w:pPr>
    </w:p>
    <w:p>
      <w:pPr>
        <w:rPr>
          <w:rFonts w:hint="eastAsia" w:hAnsi="宋体"/>
          <w:b/>
          <w:bCs/>
          <w:color w:val="auto"/>
          <w:sz w:val="28"/>
          <w:szCs w:val="28"/>
          <w:lang w:eastAsia="zh-CN"/>
        </w:rPr>
      </w:pPr>
    </w:p>
    <w:p>
      <w:pPr>
        <w:rPr>
          <w:rFonts w:hint="eastAsia" w:hAnsi="宋体"/>
          <w:b/>
          <w:bCs/>
          <w:color w:val="auto"/>
          <w:sz w:val="28"/>
          <w:szCs w:val="28"/>
          <w:lang w:eastAsia="zh-CN"/>
        </w:rPr>
      </w:pPr>
    </w:p>
    <w:p>
      <w:pPr>
        <w:jc w:val="left"/>
        <w:rPr>
          <w:rFonts w:hint="eastAsia" w:hAnsi="宋体"/>
          <w:b/>
          <w:bCs/>
          <w:color w:val="auto"/>
          <w:sz w:val="28"/>
          <w:szCs w:val="28"/>
          <w:lang w:val="en-US" w:eastAsia="zh-CN"/>
        </w:rPr>
      </w:pPr>
      <w:r>
        <w:rPr>
          <w:rFonts w:hint="eastAsia" w:hAnsi="宋体"/>
          <w:b/>
          <w:bCs/>
          <w:color w:val="auto"/>
          <w:sz w:val="28"/>
          <w:szCs w:val="28"/>
          <w:lang w:eastAsia="zh-CN"/>
        </w:rPr>
        <w:t>附件</w:t>
      </w:r>
      <w:r>
        <w:rPr>
          <w:rFonts w:hint="eastAsia" w:hAnsi="宋体"/>
          <w:b/>
          <w:bCs/>
          <w:color w:val="auto"/>
          <w:sz w:val="28"/>
          <w:szCs w:val="28"/>
          <w:lang w:val="en-US" w:eastAsia="zh-CN"/>
        </w:rPr>
        <w:t>5 实验室资质</w:t>
      </w:r>
      <w:r>
        <w:rPr>
          <w:rFonts w:hint="eastAsia" w:hAnsi="宋体"/>
          <w:b/>
          <w:bCs/>
          <w:color w:val="auto"/>
          <w:sz w:val="28"/>
          <w:szCs w:val="28"/>
          <w:lang w:val="en-US" w:eastAsia="zh-CN"/>
        </w:rPr>
        <w:drawing>
          <wp:inline distT="0" distB="0" distL="114300" distR="114300">
            <wp:extent cx="5408930" cy="7686675"/>
            <wp:effectExtent l="0" t="0" r="1270" b="9525"/>
            <wp:docPr id="28" name="图片 28" descr="摩尔资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摩尔资质"/>
                    <pic:cNvPicPr>
                      <a:picLocks noChangeAspect="1"/>
                    </pic:cNvPicPr>
                  </pic:nvPicPr>
                  <pic:blipFill>
                    <a:blip r:embed="rId40"/>
                    <a:stretch>
                      <a:fillRect/>
                    </a:stretch>
                  </pic:blipFill>
                  <pic:spPr>
                    <a:xfrm>
                      <a:off x="0" y="0"/>
                      <a:ext cx="5408930" cy="7686675"/>
                    </a:xfrm>
                    <a:prstGeom prst="rect">
                      <a:avLst/>
                    </a:prstGeom>
                  </pic:spPr>
                </pic:pic>
              </a:graphicData>
            </a:graphic>
          </wp:inline>
        </w:drawing>
      </w:r>
    </w:p>
    <w:p>
      <w:pPr>
        <w:widowControl/>
        <w:spacing w:line="360" w:lineRule="auto"/>
        <w:jc w:val="left"/>
        <w:outlineLvl w:val="9"/>
        <w:rPr>
          <w:rFonts w:hint="eastAsia" w:hAnsi="宋体"/>
          <w:b/>
          <w:bCs/>
          <w:color w:val="auto"/>
          <w:sz w:val="28"/>
          <w:szCs w:val="28"/>
        </w:rPr>
      </w:pPr>
    </w:p>
    <w:p>
      <w:pPr>
        <w:widowControl/>
        <w:spacing w:line="360" w:lineRule="auto"/>
        <w:jc w:val="left"/>
        <w:outlineLvl w:val="9"/>
        <w:rPr>
          <w:rFonts w:hint="eastAsia" w:hAnsi="宋体"/>
          <w:b/>
          <w:bCs/>
          <w:color w:val="auto"/>
          <w:sz w:val="28"/>
          <w:szCs w:val="28"/>
        </w:rPr>
      </w:pPr>
    </w:p>
    <w:p>
      <w:pPr>
        <w:widowControl/>
        <w:spacing w:line="360" w:lineRule="auto"/>
        <w:jc w:val="left"/>
        <w:outlineLvl w:val="0"/>
        <w:rPr>
          <w:rFonts w:hint="eastAsia" w:hAnsi="宋体"/>
          <w:b/>
          <w:bCs/>
          <w:color w:val="auto"/>
          <w:sz w:val="28"/>
          <w:szCs w:val="28"/>
        </w:rPr>
      </w:pPr>
      <w:bookmarkStart w:id="567" w:name="_Toc7544"/>
      <w:r>
        <w:rPr>
          <w:rFonts w:hint="eastAsia" w:hAnsi="宋体"/>
          <w:b/>
          <w:bCs/>
          <w:color w:val="auto"/>
          <w:sz w:val="28"/>
          <w:szCs w:val="28"/>
        </w:rPr>
        <w:t>附件6</w:t>
      </w:r>
      <w:r>
        <w:rPr>
          <w:rFonts w:hint="eastAsia" w:hAnsi="宋体"/>
          <w:b/>
          <w:bCs/>
          <w:color w:val="auto"/>
          <w:sz w:val="28"/>
          <w:szCs w:val="28"/>
          <w:lang w:val="en-US" w:eastAsia="zh-CN"/>
        </w:rPr>
        <w:t xml:space="preserve"> </w:t>
      </w:r>
      <w:r>
        <w:rPr>
          <w:rFonts w:hint="eastAsia" w:hAnsi="宋体"/>
          <w:b/>
          <w:bCs/>
          <w:color w:val="auto"/>
          <w:sz w:val="28"/>
          <w:szCs w:val="28"/>
        </w:rPr>
        <w:t>检测报告</w:t>
      </w:r>
      <w:bookmarkEnd w:id="567"/>
    </w:p>
    <w:p>
      <w:pPr>
        <w:pStyle w:val="13"/>
        <w:rPr>
          <w:rFonts w:hint="eastAsia" w:eastAsia="宋体"/>
          <w:lang w:eastAsia="zh-CN"/>
        </w:rPr>
      </w:pPr>
      <w:r>
        <w:rPr>
          <w:rFonts w:hint="eastAsia" w:eastAsia="宋体"/>
          <w:lang w:eastAsia="zh-CN"/>
        </w:rPr>
        <w:drawing>
          <wp:inline distT="0" distB="0" distL="114300" distR="114300">
            <wp:extent cx="5271135" cy="6920230"/>
            <wp:effectExtent l="0" t="0" r="5715" b="13970"/>
            <wp:docPr id="29" name="图片 2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
                    <pic:cNvPicPr>
                      <a:picLocks noChangeAspect="1"/>
                    </pic:cNvPicPr>
                  </pic:nvPicPr>
                  <pic:blipFill>
                    <a:blip r:embed="rId41"/>
                    <a:stretch>
                      <a:fillRect/>
                    </a:stretch>
                  </pic:blipFill>
                  <pic:spPr>
                    <a:xfrm>
                      <a:off x="0" y="0"/>
                      <a:ext cx="5271135" cy="6920230"/>
                    </a:xfrm>
                    <a:prstGeom prst="rect">
                      <a:avLst/>
                    </a:prstGeom>
                  </pic:spPr>
                </pic:pic>
              </a:graphicData>
            </a:graphic>
          </wp:inline>
        </w:drawing>
      </w:r>
    </w:p>
    <w:p>
      <w:pPr>
        <w:widowControl/>
        <w:spacing w:line="360" w:lineRule="auto"/>
        <w:jc w:val="left"/>
        <w:outlineLvl w:val="9"/>
        <w:rPr>
          <w:rFonts w:hint="eastAsia" w:hAnsi="宋体"/>
          <w:b/>
          <w:bCs/>
          <w:color w:val="auto"/>
          <w:sz w:val="28"/>
          <w:szCs w:val="28"/>
        </w:rPr>
      </w:pPr>
    </w:p>
    <w:p>
      <w:pPr>
        <w:widowControl/>
        <w:spacing w:line="360" w:lineRule="auto"/>
        <w:jc w:val="left"/>
        <w:outlineLvl w:val="9"/>
        <w:rPr>
          <w:rFonts w:hint="eastAsia" w:hAnsi="宋体"/>
          <w:b/>
          <w:bCs/>
          <w:color w:val="auto"/>
          <w:sz w:val="28"/>
          <w:szCs w:val="28"/>
        </w:rPr>
      </w:pPr>
    </w:p>
    <w:p>
      <w:pPr>
        <w:widowControl/>
        <w:spacing w:line="360" w:lineRule="auto"/>
        <w:jc w:val="left"/>
        <w:outlineLvl w:val="9"/>
        <w:rPr>
          <w:rFonts w:hint="eastAsia" w:hAnsi="宋体"/>
          <w:b/>
          <w:bCs/>
          <w:color w:val="auto"/>
          <w:sz w:val="28"/>
          <w:szCs w:val="28"/>
        </w:rPr>
      </w:pPr>
    </w:p>
    <w:p>
      <w:pPr>
        <w:widowControl/>
        <w:spacing w:line="360" w:lineRule="auto"/>
        <w:jc w:val="left"/>
        <w:outlineLvl w:val="9"/>
        <w:rPr>
          <w:rFonts w:hint="eastAsia" w:hAnsi="宋体"/>
          <w:b/>
          <w:bCs/>
          <w:color w:val="auto"/>
          <w:sz w:val="28"/>
          <w:szCs w:val="28"/>
        </w:rPr>
      </w:pPr>
    </w:p>
    <w:p>
      <w:pPr>
        <w:widowControl/>
        <w:spacing w:line="360" w:lineRule="auto"/>
        <w:jc w:val="left"/>
        <w:outlineLvl w:val="0"/>
        <w:rPr>
          <w:rFonts w:hint="eastAsia" w:hAnsi="宋体"/>
          <w:b/>
          <w:bCs/>
          <w:color w:val="auto"/>
          <w:sz w:val="28"/>
          <w:szCs w:val="28"/>
          <w:lang w:eastAsia="zh-CN"/>
        </w:rPr>
      </w:pPr>
      <w:bookmarkStart w:id="568" w:name="_Toc304"/>
      <w:r>
        <w:rPr>
          <w:rFonts w:hint="eastAsia" w:hAnsi="宋体"/>
          <w:b/>
          <w:bCs/>
          <w:color w:val="auto"/>
          <w:sz w:val="28"/>
          <w:szCs w:val="28"/>
        </w:rPr>
        <w:t>附件7</w:t>
      </w:r>
      <w:r>
        <w:rPr>
          <w:rFonts w:hint="eastAsia" w:hAnsi="宋体"/>
          <w:b/>
          <w:bCs/>
          <w:color w:val="auto"/>
          <w:sz w:val="28"/>
          <w:szCs w:val="28"/>
          <w:lang w:val="en-US" w:eastAsia="zh-CN"/>
        </w:rPr>
        <w:t xml:space="preserve"> </w:t>
      </w:r>
      <w:r>
        <w:rPr>
          <w:rFonts w:hint="eastAsia" w:hAnsi="宋体"/>
          <w:b/>
          <w:bCs/>
          <w:color w:val="auto"/>
          <w:sz w:val="28"/>
          <w:szCs w:val="28"/>
          <w:lang w:eastAsia="zh-CN"/>
        </w:rPr>
        <w:t>采样照片</w:t>
      </w:r>
      <w:bookmarkEnd w:id="568"/>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9"/>
        <w:gridCol w:w="6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pPr>
              <w:pStyle w:val="13"/>
              <w:jc w:val="center"/>
              <w:rPr>
                <w:rFonts w:hint="eastAsia"/>
                <w:vertAlign w:val="baseline"/>
                <w:lang w:eastAsia="zh-CN"/>
              </w:rPr>
            </w:pPr>
            <w:r>
              <w:rPr>
                <w:rFonts w:hint="eastAsia"/>
                <w:b/>
                <w:bCs/>
                <w:vertAlign w:val="baseline"/>
                <w:lang w:eastAsia="zh-CN"/>
              </w:rPr>
              <w:t>土壤采样</w:t>
            </w:r>
          </w:p>
        </w:tc>
        <w:tc>
          <w:tcPr>
            <w:tcW w:w="6810" w:type="dxa"/>
          </w:tcPr>
          <w:p>
            <w:pPr>
              <w:pStyle w:val="13"/>
              <w:jc w:val="both"/>
              <w:rPr>
                <w:rFonts w:hint="eastAsia"/>
                <w:vertAlign w:val="baseline"/>
                <w:lang w:eastAsia="zh-CN"/>
              </w:rPr>
            </w:pPr>
            <w:r>
              <w:rPr>
                <w:rFonts w:hint="eastAsia"/>
                <w:vertAlign w:val="baseline"/>
                <w:lang w:val="en-US" w:eastAsia="zh-CN"/>
              </w:rPr>
              <w:t xml:space="preserve"> </w:t>
            </w:r>
            <w:r>
              <w:rPr>
                <w:rFonts w:hint="eastAsia"/>
                <w:vertAlign w:val="baseline"/>
                <w:lang w:eastAsia="zh-CN"/>
              </w:rPr>
              <w:drawing>
                <wp:inline distT="0" distB="0" distL="114300" distR="114300">
                  <wp:extent cx="3416300" cy="3886200"/>
                  <wp:effectExtent l="0" t="0" r="12700" b="0"/>
                  <wp:docPr id="30" name="图片 3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
                          <pic:cNvPicPr>
                            <a:picLocks noChangeAspect="1"/>
                          </pic:cNvPicPr>
                        </pic:nvPicPr>
                        <pic:blipFill>
                          <a:blip r:embed="rId42"/>
                          <a:stretch>
                            <a:fillRect/>
                          </a:stretch>
                        </pic:blipFill>
                        <pic:spPr>
                          <a:xfrm>
                            <a:off x="0" y="0"/>
                            <a:ext cx="3416300" cy="38862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pPr>
              <w:pStyle w:val="13"/>
              <w:jc w:val="center"/>
              <w:rPr>
                <w:rFonts w:hint="eastAsia"/>
                <w:vertAlign w:val="baseline"/>
                <w:lang w:eastAsia="zh-CN"/>
              </w:rPr>
            </w:pPr>
            <w:r>
              <w:rPr>
                <w:rFonts w:hint="eastAsia"/>
                <w:b/>
                <w:bCs/>
                <w:vertAlign w:val="baseline"/>
                <w:lang w:eastAsia="zh-CN"/>
              </w:rPr>
              <w:t>土壤采样</w:t>
            </w:r>
          </w:p>
        </w:tc>
        <w:tc>
          <w:tcPr>
            <w:tcW w:w="6810" w:type="dxa"/>
          </w:tcPr>
          <w:p>
            <w:pPr>
              <w:pStyle w:val="13"/>
              <w:jc w:val="both"/>
              <w:rPr>
                <w:rFonts w:hint="eastAsia"/>
                <w:vertAlign w:val="baseline"/>
                <w:lang w:eastAsia="zh-CN"/>
              </w:rPr>
            </w:pPr>
            <w:r>
              <w:rPr>
                <w:rFonts w:hint="eastAsia"/>
                <w:vertAlign w:val="baseline"/>
                <w:lang w:eastAsia="zh-CN"/>
              </w:rPr>
              <w:drawing>
                <wp:inline distT="0" distB="0" distL="114300" distR="114300">
                  <wp:extent cx="3502660" cy="4302760"/>
                  <wp:effectExtent l="0" t="0" r="2540" b="2540"/>
                  <wp:docPr id="31" name="图片 3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3"/>
                          <pic:cNvPicPr>
                            <a:picLocks noChangeAspect="1"/>
                          </pic:cNvPicPr>
                        </pic:nvPicPr>
                        <pic:blipFill>
                          <a:blip r:embed="rId43"/>
                          <a:stretch>
                            <a:fillRect/>
                          </a:stretch>
                        </pic:blipFill>
                        <pic:spPr>
                          <a:xfrm>
                            <a:off x="0" y="0"/>
                            <a:ext cx="3502660" cy="43027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pPr>
              <w:pStyle w:val="13"/>
              <w:jc w:val="center"/>
              <w:rPr>
                <w:rFonts w:hint="eastAsia"/>
                <w:vertAlign w:val="baseline"/>
                <w:lang w:eastAsia="zh-CN"/>
              </w:rPr>
            </w:pPr>
            <w:r>
              <w:rPr>
                <w:rFonts w:hint="eastAsia"/>
                <w:b/>
                <w:bCs/>
                <w:vertAlign w:val="baseline"/>
                <w:lang w:eastAsia="zh-CN"/>
              </w:rPr>
              <w:t>土壤采样</w:t>
            </w:r>
          </w:p>
        </w:tc>
        <w:tc>
          <w:tcPr>
            <w:tcW w:w="6810" w:type="dxa"/>
          </w:tcPr>
          <w:p>
            <w:pPr>
              <w:pStyle w:val="13"/>
              <w:jc w:val="both"/>
              <w:rPr>
                <w:rFonts w:hint="eastAsia"/>
                <w:vertAlign w:val="baseline"/>
                <w:lang w:eastAsia="zh-CN"/>
              </w:rPr>
            </w:pPr>
            <w:r>
              <w:rPr>
                <w:rFonts w:hint="eastAsia"/>
                <w:vertAlign w:val="baseline"/>
                <w:lang w:eastAsia="zh-CN"/>
              </w:rPr>
              <w:drawing>
                <wp:inline distT="0" distB="0" distL="114300" distR="114300">
                  <wp:extent cx="3721735" cy="2790825"/>
                  <wp:effectExtent l="0" t="0" r="12065" b="9525"/>
                  <wp:docPr id="32" name="图片 32" descr="H:\土壤调查评估\河南经济贸易技师学院土调\经贸学校\1 (2).jpg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H:\土壤调查评估\河南经济贸易技师学院土调\经贸学校\1 (2).jpg1 (2)"/>
                          <pic:cNvPicPr>
                            <a:picLocks noChangeAspect="1"/>
                          </pic:cNvPicPr>
                        </pic:nvPicPr>
                        <pic:blipFill>
                          <a:blip r:embed="rId24"/>
                          <a:srcRect/>
                          <a:stretch>
                            <a:fillRect/>
                          </a:stretch>
                        </pic:blipFill>
                        <pic:spPr>
                          <a:xfrm>
                            <a:off x="0" y="0"/>
                            <a:ext cx="3721735" cy="27908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9" w:type="dxa"/>
            <w:vAlign w:val="center"/>
          </w:tcPr>
          <w:p>
            <w:pPr>
              <w:pStyle w:val="13"/>
              <w:jc w:val="center"/>
              <w:rPr>
                <w:rFonts w:hint="eastAsia"/>
                <w:vertAlign w:val="baseline"/>
                <w:lang w:eastAsia="zh-CN"/>
              </w:rPr>
            </w:pPr>
            <w:r>
              <w:rPr>
                <w:rFonts w:hint="eastAsia"/>
                <w:b/>
                <w:bCs/>
                <w:vertAlign w:val="baseline"/>
                <w:lang w:eastAsia="zh-CN"/>
              </w:rPr>
              <w:t>土壤采样</w:t>
            </w:r>
          </w:p>
        </w:tc>
        <w:tc>
          <w:tcPr>
            <w:tcW w:w="6810" w:type="dxa"/>
          </w:tcPr>
          <w:p>
            <w:pPr>
              <w:pStyle w:val="13"/>
              <w:jc w:val="both"/>
              <w:rPr>
                <w:rFonts w:hint="eastAsia"/>
                <w:vertAlign w:val="baseline"/>
                <w:lang w:eastAsia="zh-CN"/>
              </w:rPr>
            </w:pPr>
            <w:r>
              <w:rPr>
                <w:rFonts w:hint="eastAsia"/>
                <w:vertAlign w:val="baseline"/>
                <w:lang w:eastAsia="zh-CN"/>
              </w:rPr>
              <w:drawing>
                <wp:inline distT="0" distB="0" distL="114300" distR="114300">
                  <wp:extent cx="3782695" cy="2836545"/>
                  <wp:effectExtent l="0" t="0" r="8255" b="1905"/>
                  <wp:docPr id="33" name="图片 33" descr="H:\土壤调查评估\河南经济贸易技师学院土调\经贸学校\6 (2).jpg6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H:\土壤调查评估\河南经济贸易技师学院土调\经贸学校\6 (2).jpg6 (2)"/>
                          <pic:cNvPicPr>
                            <a:picLocks noChangeAspect="1"/>
                          </pic:cNvPicPr>
                        </pic:nvPicPr>
                        <pic:blipFill>
                          <a:blip r:embed="rId44"/>
                          <a:srcRect/>
                          <a:stretch>
                            <a:fillRect/>
                          </a:stretch>
                        </pic:blipFill>
                        <pic:spPr>
                          <a:xfrm>
                            <a:off x="0" y="0"/>
                            <a:ext cx="3782695" cy="2836545"/>
                          </a:xfrm>
                          <a:prstGeom prst="rect">
                            <a:avLst/>
                          </a:prstGeom>
                        </pic:spPr>
                      </pic:pic>
                    </a:graphicData>
                  </a:graphic>
                </wp:inline>
              </w:drawing>
            </w:r>
          </w:p>
        </w:tc>
      </w:tr>
    </w:tbl>
    <w:p>
      <w:pPr>
        <w:pStyle w:val="4"/>
        <w:ind w:left="0" w:leftChars="0" w:firstLine="0" w:firstLineChars="0"/>
        <w:outlineLvl w:val="9"/>
        <w:sectPr>
          <w:footerReference r:id="rId6" w:type="default"/>
          <w:pgSz w:w="11906" w:h="16838"/>
          <w:pgMar w:top="1440" w:right="1800" w:bottom="1440" w:left="1800" w:header="851" w:footer="992" w:gutter="0"/>
          <w:cols w:space="425" w:num="1"/>
          <w:docGrid w:type="lines" w:linePitch="312" w:charSpace="0"/>
        </w:sectPr>
      </w:pPr>
    </w:p>
    <w:p>
      <w:pPr>
        <w:widowControl/>
        <w:spacing w:line="360" w:lineRule="auto"/>
        <w:jc w:val="left"/>
        <w:outlineLvl w:val="0"/>
        <w:rPr>
          <w:rFonts w:hint="eastAsia" w:hAnsi="宋体"/>
          <w:b/>
          <w:bCs/>
          <w:color w:val="auto"/>
          <w:sz w:val="28"/>
          <w:szCs w:val="28"/>
          <w:vertAlign w:val="baseline"/>
          <w:lang w:eastAsia="zh-CN"/>
        </w:rPr>
      </w:pPr>
      <w:bookmarkStart w:id="569" w:name="_Toc12875"/>
      <w:r>
        <w:rPr>
          <w:rFonts w:hint="eastAsia" w:hAnsi="宋体"/>
          <w:b/>
          <w:bCs/>
          <w:sz w:val="28"/>
          <w:szCs w:val="28"/>
        </w:rPr>
        <w:t>附件8</w:t>
      </w:r>
      <w:r>
        <w:rPr>
          <w:rFonts w:hint="eastAsia" w:hAnsi="宋体"/>
          <w:b/>
          <w:bCs/>
          <w:sz w:val="28"/>
          <w:szCs w:val="28"/>
          <w:lang w:val="en-US" w:eastAsia="zh-CN"/>
        </w:rPr>
        <w:t xml:space="preserve"> </w:t>
      </w:r>
      <w:r>
        <w:rPr>
          <w:rFonts w:hint="eastAsia" w:hAnsi="宋体"/>
          <w:b/>
          <w:bCs/>
          <w:sz w:val="28"/>
          <w:szCs w:val="28"/>
          <w:lang w:eastAsia="zh-CN"/>
        </w:rPr>
        <w:t>项目地理位置图</w:t>
      </w:r>
      <w:bookmarkEnd w:id="569"/>
    </w:p>
    <w:p>
      <w:pPr>
        <w:rPr>
          <w:rFonts w:hint="eastAsia" w:eastAsia="宋体"/>
          <w:lang w:eastAsia="zh-CN"/>
        </w:rPr>
        <w:sectPr>
          <w:pgSz w:w="16838" w:h="11906" w:orient="landscape"/>
          <w:pgMar w:top="1800" w:right="1440" w:bottom="1800" w:left="1440" w:header="851" w:footer="992" w:gutter="0"/>
          <w:cols w:space="425" w:num="1"/>
          <w:docGrid w:type="lines" w:linePitch="312" w:charSpace="0"/>
        </w:sectPr>
      </w:pPr>
      <w:r>
        <w:rPr>
          <w:rFonts w:hint="eastAsia" w:eastAsia="宋体"/>
          <w:lang w:eastAsia="zh-CN"/>
        </w:rPr>
        <w:drawing>
          <wp:inline distT="0" distB="0" distL="114300" distR="114300">
            <wp:extent cx="8823325" cy="4712970"/>
            <wp:effectExtent l="0" t="0" r="15875" b="11430"/>
            <wp:docPr id="35" name="图片 35" descr="新乡规划图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新乡规划图_副本"/>
                    <pic:cNvPicPr>
                      <a:picLocks noChangeAspect="1"/>
                    </pic:cNvPicPr>
                  </pic:nvPicPr>
                  <pic:blipFill>
                    <a:blip r:embed="rId45"/>
                    <a:stretch>
                      <a:fillRect/>
                    </a:stretch>
                  </pic:blipFill>
                  <pic:spPr>
                    <a:xfrm>
                      <a:off x="0" y="0"/>
                      <a:ext cx="8823325" cy="4712970"/>
                    </a:xfrm>
                    <a:prstGeom prst="rect">
                      <a:avLst/>
                    </a:prstGeom>
                  </pic:spPr>
                </pic:pic>
              </a:graphicData>
            </a:graphic>
          </wp:inline>
        </w:drawing>
      </w:r>
    </w:p>
    <w:p>
      <w:pPr>
        <w:pStyle w:val="13"/>
        <w:rPr>
          <w:rFonts w:hint="default" w:ascii="Calibri" w:hAnsi="宋体" w:eastAsia="宋体" w:cs="Times New Roman"/>
          <w:b/>
          <w:bCs/>
          <w:color w:val="auto"/>
          <w:kern w:val="2"/>
          <w:sz w:val="28"/>
          <w:szCs w:val="28"/>
          <w:lang w:val="en-US" w:eastAsia="zh-CN" w:bidi="ar-SA"/>
        </w:rPr>
      </w:pPr>
      <w:r>
        <w:rPr>
          <w:rFonts w:hint="eastAsia" w:ascii="Calibri" w:hAnsi="宋体" w:eastAsia="宋体" w:cs="Times New Roman"/>
          <w:b/>
          <w:bCs/>
          <w:color w:val="auto"/>
          <w:kern w:val="2"/>
          <w:sz w:val="28"/>
          <w:szCs w:val="28"/>
          <w:lang w:val="en-US" w:eastAsia="zh-CN" w:bidi="ar-SA"/>
        </w:rPr>
        <w:t xml:space="preserve">附件9 </w:t>
      </w:r>
      <w:r>
        <w:rPr>
          <w:rFonts w:hint="default" w:ascii="Calibri" w:hAnsi="宋体" w:eastAsia="宋体" w:cs="Times New Roman"/>
          <w:b/>
          <w:bCs/>
          <w:color w:val="auto"/>
          <w:kern w:val="2"/>
          <w:sz w:val="28"/>
          <w:szCs w:val="28"/>
          <w:lang w:val="en-US" w:eastAsia="zh-CN" w:bidi="ar-SA"/>
        </w:rPr>
        <w:t>《新乡市</w:t>
      </w:r>
      <w:r>
        <w:rPr>
          <w:rFonts w:hint="eastAsia" w:ascii="Calibri" w:hAnsi="宋体" w:eastAsia="宋体" w:cs="Times New Roman"/>
          <w:b/>
          <w:bCs/>
          <w:color w:val="auto"/>
          <w:kern w:val="2"/>
          <w:sz w:val="28"/>
          <w:szCs w:val="28"/>
          <w:lang w:val="en-US" w:eastAsia="zh-CN" w:bidi="ar-SA"/>
        </w:rPr>
        <w:t>规划设计条件通知书（新规条件2015-53号</w:t>
      </w:r>
      <w:r>
        <w:rPr>
          <w:rFonts w:hint="eastAsia" w:ascii="Calibri" w:hAnsi="宋体" w:cs="Times New Roman"/>
          <w:b/>
          <w:bCs/>
          <w:color w:val="auto"/>
          <w:kern w:val="2"/>
          <w:sz w:val="28"/>
          <w:szCs w:val="28"/>
          <w:lang w:val="en-US" w:eastAsia="zh-CN" w:bidi="ar-SA"/>
        </w:rPr>
        <w:t>）》</w:t>
      </w:r>
      <w:r>
        <w:rPr>
          <w:rFonts w:hint="default" w:ascii="Calibri" w:hAnsi="宋体" w:eastAsia="宋体" w:cs="Times New Roman"/>
          <w:b/>
          <w:bCs/>
          <w:color w:val="auto"/>
          <w:kern w:val="2"/>
          <w:sz w:val="28"/>
          <w:szCs w:val="28"/>
          <w:lang w:val="en-US" w:eastAsia="zh-CN" w:bidi="ar-SA"/>
        </w:rPr>
        <w:drawing>
          <wp:inline distT="0" distB="0" distL="114300" distR="114300">
            <wp:extent cx="5527675" cy="7836535"/>
            <wp:effectExtent l="0" t="0" r="15875" b="12065"/>
            <wp:docPr id="27" name="图片 2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
                    <pic:cNvPicPr>
                      <a:picLocks noChangeAspect="1"/>
                    </pic:cNvPicPr>
                  </pic:nvPicPr>
                  <pic:blipFill>
                    <a:blip r:embed="rId46"/>
                    <a:stretch>
                      <a:fillRect/>
                    </a:stretch>
                  </pic:blipFill>
                  <pic:spPr>
                    <a:xfrm>
                      <a:off x="0" y="0"/>
                      <a:ext cx="5527675" cy="7836535"/>
                    </a:xfrm>
                    <a:prstGeom prst="rect">
                      <a:avLst/>
                    </a:prstGeom>
                  </pic:spPr>
                </pic:pic>
              </a:graphicData>
            </a:graphic>
          </wp:inline>
        </w:drawing>
      </w:r>
      <w:r>
        <w:rPr>
          <w:rFonts w:hint="default" w:ascii="Calibri" w:hAnsi="宋体" w:eastAsia="宋体" w:cs="Times New Roman"/>
          <w:b/>
          <w:bCs/>
          <w:color w:val="auto"/>
          <w:kern w:val="2"/>
          <w:sz w:val="28"/>
          <w:szCs w:val="28"/>
          <w:lang w:val="en-US" w:eastAsia="zh-CN" w:bidi="ar-SA"/>
        </w:rPr>
        <w:drawing>
          <wp:inline distT="0" distB="0" distL="114300" distR="114300">
            <wp:extent cx="5266690" cy="7340600"/>
            <wp:effectExtent l="0" t="0" r="10160" b="12700"/>
            <wp:docPr id="34" name="图片 3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
                    <pic:cNvPicPr>
                      <a:picLocks noChangeAspect="1"/>
                    </pic:cNvPicPr>
                  </pic:nvPicPr>
                  <pic:blipFill>
                    <a:blip r:embed="rId47"/>
                    <a:stretch>
                      <a:fillRect/>
                    </a:stretch>
                  </pic:blipFill>
                  <pic:spPr>
                    <a:xfrm>
                      <a:off x="0" y="0"/>
                      <a:ext cx="5266690" cy="7340600"/>
                    </a:xfrm>
                    <a:prstGeom prst="rect">
                      <a:avLst/>
                    </a:prstGeom>
                  </pic:spPr>
                </pic:pic>
              </a:graphicData>
            </a:graphic>
          </wp:inline>
        </w:drawing>
      </w:r>
    </w:p>
    <w:p>
      <w:pPr>
        <w:pStyle w:val="13"/>
        <w:rPr>
          <w:rFonts w:hint="eastAsia" w:ascii="Calibri" w:hAnsi="宋体" w:cs="Times New Roman"/>
          <w:b/>
          <w:bCs/>
          <w:color w:val="auto"/>
          <w:kern w:val="2"/>
          <w:sz w:val="28"/>
          <w:szCs w:val="28"/>
          <w:lang w:val="en-US" w:eastAsia="zh-CN" w:bidi="ar-SA"/>
        </w:rPr>
      </w:pPr>
    </w:p>
    <w:p>
      <w:pPr>
        <w:pStyle w:val="13"/>
        <w:rPr>
          <w:rFonts w:hint="eastAsia" w:ascii="Calibri" w:hAnsi="宋体" w:cs="Times New Roman"/>
          <w:b/>
          <w:bCs/>
          <w:color w:val="auto"/>
          <w:kern w:val="2"/>
          <w:sz w:val="28"/>
          <w:szCs w:val="28"/>
          <w:lang w:val="en-US" w:eastAsia="zh-CN" w:bidi="ar-SA"/>
        </w:rPr>
      </w:pPr>
    </w:p>
    <w:p>
      <w:pPr>
        <w:pStyle w:val="13"/>
        <w:rPr>
          <w:rFonts w:hint="eastAsia" w:ascii="Calibri" w:hAnsi="宋体" w:cs="Times New Roman"/>
          <w:b/>
          <w:bCs/>
          <w:color w:val="auto"/>
          <w:kern w:val="2"/>
          <w:sz w:val="28"/>
          <w:szCs w:val="28"/>
          <w:lang w:val="en-US" w:eastAsia="zh-CN" w:bidi="ar-SA"/>
        </w:rPr>
      </w:pPr>
    </w:p>
    <w:p>
      <w:pPr>
        <w:pStyle w:val="13"/>
        <w:rPr>
          <w:rFonts w:hint="default" w:ascii="Calibri" w:hAnsi="宋体" w:eastAsia="宋体" w:cs="Times New Roman"/>
          <w:b/>
          <w:bCs/>
          <w:color w:val="auto"/>
          <w:kern w:val="2"/>
          <w:sz w:val="28"/>
          <w:szCs w:val="28"/>
          <w:lang w:val="en-US" w:eastAsia="zh-CN" w:bidi="ar-SA"/>
        </w:rPr>
      </w:pPr>
      <w:r>
        <w:rPr>
          <w:rFonts w:hint="eastAsia" w:ascii="Calibri" w:hAnsi="宋体" w:cs="Times New Roman"/>
          <w:b/>
          <w:bCs/>
          <w:color w:val="auto"/>
          <w:kern w:val="2"/>
          <w:sz w:val="28"/>
          <w:szCs w:val="28"/>
          <w:lang w:val="en-US" w:eastAsia="zh-CN" w:bidi="ar-SA"/>
        </w:rPr>
        <w:t>附件10   人员访谈记录</w:t>
      </w:r>
      <w:r>
        <w:rPr>
          <w:rFonts w:hint="default" w:ascii="Calibri" w:hAnsi="宋体" w:eastAsia="宋体" w:cs="Times New Roman"/>
          <w:b/>
          <w:bCs/>
          <w:color w:val="auto"/>
          <w:kern w:val="2"/>
          <w:sz w:val="28"/>
          <w:szCs w:val="28"/>
          <w:lang w:val="en-US" w:eastAsia="zh-CN" w:bidi="ar-SA"/>
        </w:rPr>
        <w:drawing>
          <wp:inline distT="0" distB="0" distL="114300" distR="114300">
            <wp:extent cx="5389880" cy="7477125"/>
            <wp:effectExtent l="0" t="0" r="1270" b="9525"/>
            <wp:docPr id="49" name="图片 49" descr="G:\土壤调查评估\河南经济贸易技师学院土调\记录1.jpg记录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G:\土壤调查评估\河南经济贸易技师学院土调\记录1.jpg记录1"/>
                    <pic:cNvPicPr>
                      <a:picLocks noChangeAspect="1"/>
                    </pic:cNvPicPr>
                  </pic:nvPicPr>
                  <pic:blipFill>
                    <a:blip r:embed="rId48"/>
                    <a:srcRect/>
                    <a:stretch>
                      <a:fillRect/>
                    </a:stretch>
                  </pic:blipFill>
                  <pic:spPr>
                    <a:xfrm>
                      <a:off x="0" y="0"/>
                      <a:ext cx="5389880" cy="7477125"/>
                    </a:xfrm>
                    <a:prstGeom prst="rect">
                      <a:avLst/>
                    </a:prstGeom>
                  </pic:spPr>
                </pic:pic>
              </a:graphicData>
            </a:graphic>
          </wp:inline>
        </w:drawing>
      </w:r>
    </w:p>
    <w:p>
      <w:pPr>
        <w:pStyle w:val="13"/>
        <w:rPr>
          <w:rFonts w:hint="default" w:ascii="Calibri" w:hAnsi="宋体" w:eastAsia="宋体" w:cs="Times New Roman"/>
          <w:b/>
          <w:bCs/>
          <w:color w:val="auto"/>
          <w:kern w:val="2"/>
          <w:sz w:val="28"/>
          <w:szCs w:val="28"/>
          <w:lang w:val="en-US" w:eastAsia="zh-CN" w:bidi="ar-SA"/>
        </w:rPr>
      </w:pPr>
      <w:r>
        <w:rPr>
          <w:rFonts w:hint="default" w:ascii="Calibri" w:hAnsi="宋体" w:eastAsia="宋体" w:cs="Times New Roman"/>
          <w:b/>
          <w:bCs/>
          <w:color w:val="auto"/>
          <w:kern w:val="2"/>
          <w:sz w:val="28"/>
          <w:szCs w:val="28"/>
          <w:lang w:val="en-US" w:eastAsia="zh-CN" w:bidi="ar-SA"/>
        </w:rPr>
        <w:drawing>
          <wp:inline distT="0" distB="0" distL="114300" distR="114300">
            <wp:extent cx="5273040" cy="7314565"/>
            <wp:effectExtent l="0" t="0" r="3810" b="635"/>
            <wp:docPr id="50" name="图片 50" descr="G:\土壤调查评估\河南经济贸易技师学院土调\记录2.jpg记录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G:\土壤调查评估\河南经济贸易技师学院土调\记录2.jpg记录2"/>
                    <pic:cNvPicPr>
                      <a:picLocks noChangeAspect="1"/>
                    </pic:cNvPicPr>
                  </pic:nvPicPr>
                  <pic:blipFill>
                    <a:blip r:embed="rId49"/>
                    <a:srcRect/>
                    <a:stretch>
                      <a:fillRect/>
                    </a:stretch>
                  </pic:blipFill>
                  <pic:spPr>
                    <a:xfrm>
                      <a:off x="0" y="0"/>
                      <a:ext cx="5273040" cy="7314565"/>
                    </a:xfrm>
                    <a:prstGeom prst="rect">
                      <a:avLst/>
                    </a:prstGeom>
                  </pic:spPr>
                </pic:pic>
              </a:graphicData>
            </a:graphic>
          </wp:inline>
        </w:drawing>
      </w:r>
    </w:p>
    <w:p>
      <w:pPr>
        <w:pStyle w:val="13"/>
        <w:rPr>
          <w:rFonts w:hint="default" w:ascii="Calibri" w:hAnsi="宋体" w:eastAsia="宋体" w:cs="Times New Roman"/>
          <w:b/>
          <w:bCs/>
          <w:color w:val="auto"/>
          <w:kern w:val="2"/>
          <w:sz w:val="28"/>
          <w:szCs w:val="28"/>
          <w:lang w:val="en-US" w:eastAsia="zh-CN" w:bidi="ar-SA"/>
        </w:rPr>
      </w:pPr>
      <w:r>
        <w:rPr>
          <w:rFonts w:hint="default" w:ascii="Calibri" w:hAnsi="宋体" w:eastAsia="宋体" w:cs="Times New Roman"/>
          <w:b/>
          <w:bCs/>
          <w:color w:val="auto"/>
          <w:kern w:val="2"/>
          <w:sz w:val="28"/>
          <w:szCs w:val="28"/>
          <w:lang w:val="en-US" w:eastAsia="zh-CN" w:bidi="ar-SA"/>
        </w:rPr>
        <w:drawing>
          <wp:inline distT="0" distB="0" distL="114300" distR="114300">
            <wp:extent cx="5273040" cy="7314565"/>
            <wp:effectExtent l="0" t="0" r="3810" b="635"/>
            <wp:docPr id="51" name="图片 51" descr="G:\土壤调查评估\河南经济贸易技师学院土调\记录3.jpg记录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G:\土壤调查评估\河南经济贸易技师学院土调\记录3.jpg记录3"/>
                    <pic:cNvPicPr>
                      <a:picLocks noChangeAspect="1"/>
                    </pic:cNvPicPr>
                  </pic:nvPicPr>
                  <pic:blipFill>
                    <a:blip r:embed="rId50"/>
                    <a:srcRect/>
                    <a:stretch>
                      <a:fillRect/>
                    </a:stretch>
                  </pic:blipFill>
                  <pic:spPr>
                    <a:xfrm>
                      <a:off x="0" y="0"/>
                      <a:ext cx="5273040" cy="7314565"/>
                    </a:xfrm>
                    <a:prstGeom prst="rect">
                      <a:avLst/>
                    </a:prstGeom>
                  </pic:spPr>
                </pic:pic>
              </a:graphicData>
            </a:graphic>
          </wp:inline>
        </w:drawing>
      </w:r>
    </w:p>
    <w:p>
      <w:pPr>
        <w:pStyle w:val="13"/>
        <w:rPr>
          <w:rFonts w:hint="eastAsia" w:ascii="Calibri" w:hAnsi="宋体" w:cs="Times New Roman"/>
          <w:b/>
          <w:bCs/>
          <w:color w:val="auto"/>
          <w:kern w:val="2"/>
          <w:sz w:val="28"/>
          <w:szCs w:val="28"/>
          <w:lang w:val="en-US" w:eastAsia="zh-CN" w:bidi="ar-SA"/>
        </w:rPr>
      </w:pPr>
    </w:p>
    <w:p>
      <w:pPr>
        <w:pStyle w:val="13"/>
        <w:rPr>
          <w:rFonts w:hint="eastAsia" w:ascii="Calibri" w:hAnsi="宋体" w:cs="Times New Roman"/>
          <w:b/>
          <w:bCs/>
          <w:color w:val="auto"/>
          <w:kern w:val="2"/>
          <w:sz w:val="28"/>
          <w:szCs w:val="28"/>
          <w:lang w:val="en-US" w:eastAsia="zh-CN" w:bidi="ar-SA"/>
        </w:rPr>
      </w:pPr>
    </w:p>
    <w:p>
      <w:pPr>
        <w:pStyle w:val="13"/>
        <w:rPr>
          <w:rFonts w:hint="eastAsia" w:ascii="Calibri" w:hAnsi="宋体" w:cs="Times New Roman"/>
          <w:b/>
          <w:bCs/>
          <w:color w:val="auto"/>
          <w:kern w:val="2"/>
          <w:sz w:val="28"/>
          <w:szCs w:val="28"/>
          <w:lang w:val="en-US" w:eastAsia="zh-CN" w:bidi="ar-SA"/>
        </w:rPr>
      </w:pPr>
    </w:p>
    <w:p>
      <w:pPr>
        <w:pStyle w:val="13"/>
        <w:rPr>
          <w:rFonts w:hint="eastAsia" w:ascii="Calibri" w:hAnsi="宋体" w:cs="Times New Roman"/>
          <w:b/>
          <w:bCs/>
          <w:color w:val="auto"/>
          <w:kern w:val="2"/>
          <w:sz w:val="28"/>
          <w:szCs w:val="28"/>
          <w:lang w:val="en-US" w:eastAsia="zh-CN" w:bidi="ar-SA"/>
        </w:rPr>
      </w:pPr>
    </w:p>
    <w:p>
      <w:pPr>
        <w:pStyle w:val="13"/>
        <w:rPr>
          <w:rFonts w:hint="default" w:ascii="Calibri" w:hAnsi="宋体" w:eastAsia="宋体" w:cs="Times New Roman"/>
          <w:b/>
          <w:bCs/>
          <w:color w:val="auto"/>
          <w:kern w:val="2"/>
          <w:sz w:val="28"/>
          <w:szCs w:val="28"/>
          <w:lang w:val="en-US" w:eastAsia="zh-CN" w:bidi="ar-SA"/>
        </w:rPr>
      </w:pPr>
      <w:r>
        <w:rPr>
          <w:rFonts w:hint="eastAsia" w:ascii="Calibri" w:hAnsi="宋体" w:cs="Times New Roman"/>
          <w:b/>
          <w:bCs/>
          <w:color w:val="auto"/>
          <w:kern w:val="2"/>
          <w:sz w:val="28"/>
          <w:szCs w:val="28"/>
          <w:lang w:val="en-US" w:eastAsia="zh-CN" w:bidi="ar-SA"/>
        </w:rPr>
        <w:t>附件11  洗井记录</w:t>
      </w:r>
      <w:r>
        <w:rPr>
          <w:rFonts w:hint="default" w:ascii="Calibri" w:hAnsi="宋体" w:eastAsia="宋体" w:cs="Times New Roman"/>
          <w:b/>
          <w:bCs/>
          <w:color w:val="auto"/>
          <w:kern w:val="2"/>
          <w:sz w:val="28"/>
          <w:szCs w:val="28"/>
          <w:lang w:val="en-US" w:eastAsia="zh-CN" w:bidi="ar-SA"/>
        </w:rPr>
        <w:drawing>
          <wp:inline distT="0" distB="0" distL="114300" distR="114300">
            <wp:extent cx="7965440" cy="5630545"/>
            <wp:effectExtent l="0" t="0" r="8255" b="16510"/>
            <wp:docPr id="52" name="图片 52" descr="洗井记录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洗井记录1"/>
                    <pic:cNvPicPr>
                      <a:picLocks noChangeAspect="1"/>
                    </pic:cNvPicPr>
                  </pic:nvPicPr>
                  <pic:blipFill>
                    <a:blip r:embed="rId51"/>
                    <a:stretch>
                      <a:fillRect/>
                    </a:stretch>
                  </pic:blipFill>
                  <pic:spPr>
                    <a:xfrm rot="16200000">
                      <a:off x="0" y="0"/>
                      <a:ext cx="7965440" cy="5630545"/>
                    </a:xfrm>
                    <a:prstGeom prst="rect">
                      <a:avLst/>
                    </a:prstGeom>
                  </pic:spPr>
                </pic:pic>
              </a:graphicData>
            </a:graphic>
          </wp:inline>
        </w:drawing>
      </w:r>
    </w:p>
    <w:p>
      <w:pPr>
        <w:pStyle w:val="13"/>
        <w:rPr>
          <w:rFonts w:hint="default" w:ascii="Calibri" w:hAnsi="宋体" w:eastAsia="宋体" w:cs="Times New Roman"/>
          <w:b/>
          <w:bCs/>
          <w:color w:val="auto"/>
          <w:kern w:val="2"/>
          <w:sz w:val="28"/>
          <w:szCs w:val="28"/>
          <w:lang w:val="en-US" w:eastAsia="zh-CN" w:bidi="ar-SA"/>
        </w:rPr>
      </w:pPr>
      <w:r>
        <w:rPr>
          <w:rFonts w:hint="default" w:ascii="Calibri" w:hAnsi="宋体" w:eastAsia="宋体" w:cs="Times New Roman"/>
          <w:b/>
          <w:bCs/>
          <w:color w:val="auto"/>
          <w:kern w:val="2"/>
          <w:sz w:val="28"/>
          <w:szCs w:val="28"/>
          <w:lang w:val="en-US" w:eastAsia="zh-CN" w:bidi="ar-SA"/>
        </w:rPr>
        <w:drawing>
          <wp:inline distT="0" distB="0" distL="114300" distR="114300">
            <wp:extent cx="7352030" cy="5196840"/>
            <wp:effectExtent l="0" t="0" r="3810" b="1270"/>
            <wp:docPr id="53" name="图片 53" descr="洗井记录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洗井记录2"/>
                    <pic:cNvPicPr>
                      <a:picLocks noChangeAspect="1"/>
                    </pic:cNvPicPr>
                  </pic:nvPicPr>
                  <pic:blipFill>
                    <a:blip r:embed="rId52"/>
                    <a:stretch>
                      <a:fillRect/>
                    </a:stretch>
                  </pic:blipFill>
                  <pic:spPr>
                    <a:xfrm rot="16200000">
                      <a:off x="0" y="0"/>
                      <a:ext cx="7352030" cy="5196840"/>
                    </a:xfrm>
                    <a:prstGeom prst="rect">
                      <a:avLst/>
                    </a:prstGeom>
                  </pic:spPr>
                </pic:pic>
              </a:graphicData>
            </a:graphic>
          </wp:inline>
        </w:drawing>
      </w:r>
    </w:p>
    <w:p>
      <w:pPr>
        <w:pStyle w:val="13"/>
        <w:rPr>
          <w:rFonts w:hint="default" w:ascii="Calibri" w:hAnsi="宋体" w:eastAsia="宋体" w:cs="Times New Roman"/>
          <w:b/>
          <w:bCs/>
          <w:color w:val="auto"/>
          <w:kern w:val="2"/>
          <w:sz w:val="28"/>
          <w:szCs w:val="28"/>
          <w:lang w:val="en-US" w:eastAsia="zh-CN" w:bidi="ar-SA"/>
        </w:rPr>
      </w:pPr>
    </w:p>
    <w:p>
      <w:pPr>
        <w:pStyle w:val="13"/>
        <w:rPr>
          <w:rFonts w:hint="default" w:ascii="Calibri" w:hAnsi="宋体" w:eastAsia="宋体" w:cs="Times New Roman"/>
          <w:b/>
          <w:bCs/>
          <w:color w:val="auto"/>
          <w:kern w:val="2"/>
          <w:sz w:val="28"/>
          <w:szCs w:val="28"/>
          <w:lang w:val="en-US" w:eastAsia="zh-CN" w:bidi="ar-SA"/>
        </w:rPr>
      </w:pPr>
    </w:p>
    <w:p>
      <w:pPr>
        <w:pStyle w:val="13"/>
        <w:rPr>
          <w:rFonts w:hint="default" w:ascii="Calibri" w:hAnsi="宋体" w:eastAsia="宋体" w:cs="Times New Roman"/>
          <w:b/>
          <w:bCs/>
          <w:color w:val="auto"/>
          <w:kern w:val="2"/>
          <w:sz w:val="28"/>
          <w:szCs w:val="28"/>
          <w:lang w:val="en-US" w:eastAsia="zh-CN" w:bidi="ar-SA"/>
        </w:rPr>
      </w:pPr>
    </w:p>
    <w:p>
      <w:pPr>
        <w:pStyle w:val="13"/>
        <w:rPr>
          <w:rFonts w:hint="default" w:ascii="Calibri" w:hAnsi="宋体" w:eastAsia="宋体" w:cs="Times New Roman"/>
          <w:b/>
          <w:bCs/>
          <w:color w:val="auto"/>
          <w:kern w:val="2"/>
          <w:sz w:val="28"/>
          <w:szCs w:val="28"/>
          <w:lang w:val="en-US" w:eastAsia="zh-CN" w:bidi="ar-SA"/>
        </w:rPr>
      </w:pPr>
      <w:r>
        <w:rPr>
          <w:rFonts w:hint="default" w:ascii="Calibri" w:hAnsi="宋体" w:eastAsia="宋体" w:cs="Times New Roman"/>
          <w:b/>
          <w:bCs/>
          <w:color w:val="auto"/>
          <w:kern w:val="2"/>
          <w:sz w:val="28"/>
          <w:szCs w:val="28"/>
          <w:lang w:val="en-US" w:eastAsia="zh-CN" w:bidi="ar-SA"/>
        </w:rPr>
        <w:drawing>
          <wp:inline distT="0" distB="0" distL="114300" distR="114300">
            <wp:extent cx="7786370" cy="5503545"/>
            <wp:effectExtent l="0" t="0" r="1905" b="5080"/>
            <wp:docPr id="54" name="图片 54" descr="洗井记录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洗井记录3"/>
                    <pic:cNvPicPr>
                      <a:picLocks noChangeAspect="1"/>
                    </pic:cNvPicPr>
                  </pic:nvPicPr>
                  <pic:blipFill>
                    <a:blip r:embed="rId53"/>
                    <a:stretch>
                      <a:fillRect/>
                    </a:stretch>
                  </pic:blipFill>
                  <pic:spPr>
                    <a:xfrm rot="16200000">
                      <a:off x="0" y="0"/>
                      <a:ext cx="7786370" cy="550354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nmGe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4d8ctTvz84/v55+/zr28E&#10;fShQH6DGvMeAmWm48QMmz35AZ+Y9qGjzFxkRjKO8p4u8ckhE5Eer5WpVYUhgbL4gPnt6HiKkO+kt&#10;yUZDI86vyMqP95DG1DklV3P+VhtTZmjcXw7EzB6Wex97zFYadsNEaOfbE/LpcfQNdbjplJiPDpXN&#10;WzIbcTZ2s3EIUe+7ska5HoQPh4RNlN5yhRF2KowzK+ym/cpL8fxesp7+qc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p5hnvIAQAAmwMAAA4AAAAAAAAAAQAgAAAAHgEAAGRycy9lMm9Eb2Mu&#10;eG1sUEsFBgAAAAAGAAYAWQEAAFg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hpDqskBAACb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gWN+E1JY5bnPj5+7fzj1/nn18J&#10;+lCgPkCNeY8BM9Pw1g+YPPsBnZn3oKLNX2REMI7yni7yyiERkR+tlqtVhSGBsfmC+OzpeYiQHqS3&#10;JBsNjTi/Iis/voc0ps4puZrz99qYMkPj/nIgZvaw3PvYY7bSsBsmQjvfnpBPj6NvqMNNp8S8c6hs&#10;3pLZiLOxm41DiHrflTXK9SC8OSRsovSWK4ywU2GcWWE37Vdeij/vJevpn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SGkOqyQEAAJsDAAAOAAAAAAAAAAEAIAAAAB4BAABkcnMvZTJvRG9j&#10;LnhtbFBLBQYAAAAABgAGAFkBAABZBQAAAAA=&#10;">
              <v:fill on="f" focussize="0,0"/>
              <v:stroke on="f"/>
              <v:imagedata o:title=""/>
              <o:lock v:ext="edit" aspectratio="f"/>
              <v:textbox inset="0mm,0mm,0mm,0mm" style="mso-fit-shape-to-text:t;">
                <w:txbxContent>
                  <w:p>
                    <w:pPr>
                      <w:pStyle w:val="7"/>
                      <w:rPr>
                        <w:rFonts w:hint="eastAsia" w:eastAsia="宋体"/>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-154940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2.2pt;height:144pt;width:144pt;mso-position-horizontal:center;mso-position-horizontal-relative:margin;mso-wrap-style:none;z-index:251660288;mso-width-relative:page;mso-height-relative:page;" filled="f" stroked="f" coordsize="21600,21600" o:gfxdata="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DKskb1gAAAAgBAAAPAAAAAAAAAAEAIAAAACIAAABkcnMvZG93bnJl&#10;di54bWxQSwECFAAUAAAACACHTuJAT5w34TgCAABxBAAADgAAAAAAAAABACAAAAAlAQAAZHJzL2Uy&#10;b0RvYy54bWxQSwUGAAAAAAYABgBZAQAAz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81545B"/>
    <w:multiLevelType w:val="multilevel"/>
    <w:tmpl w:val="7781545B"/>
    <w:lvl w:ilvl="0" w:tentative="0">
      <w:start w:val="1"/>
      <w:numFmt w:val="decimal"/>
      <w:lvlText w:val="%1"/>
      <w:lvlJc w:val="left"/>
      <w:pPr>
        <w:ind w:left="0" w:firstLine="0"/>
      </w:pPr>
      <w:rPr>
        <w:rFonts w:hint="default" w:ascii="Times New Roman" w:hAnsi="Times New Roman"/>
      </w:rPr>
    </w:lvl>
    <w:lvl w:ilvl="1" w:tentative="0">
      <w:start w:val="1"/>
      <w:numFmt w:val="decimal"/>
      <w:lvlText w:val="%1.%2"/>
      <w:lvlJc w:val="left"/>
      <w:pPr>
        <w:ind w:left="142" w:firstLine="0"/>
      </w:pPr>
      <w:rPr>
        <w:rFonts w:hint="eastAsia"/>
      </w:rPr>
    </w:lvl>
    <w:lvl w:ilvl="2" w:tentative="0">
      <w:start w:val="1"/>
      <w:numFmt w:val="decimal"/>
      <w:pStyle w:val="6"/>
      <w:lvlText w:val="%1.%2.%3"/>
      <w:lvlJc w:val="left"/>
      <w:pPr>
        <w:ind w:left="426"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51019"/>
    <w:rsid w:val="05477EC3"/>
    <w:rsid w:val="0557646F"/>
    <w:rsid w:val="08DF4292"/>
    <w:rsid w:val="14495CC6"/>
    <w:rsid w:val="19B76E4B"/>
    <w:rsid w:val="1A152BB4"/>
    <w:rsid w:val="1C9B61A6"/>
    <w:rsid w:val="1E5F466E"/>
    <w:rsid w:val="1F9970F3"/>
    <w:rsid w:val="22B104EA"/>
    <w:rsid w:val="274B001B"/>
    <w:rsid w:val="2A187490"/>
    <w:rsid w:val="2D8F09B9"/>
    <w:rsid w:val="2F79063B"/>
    <w:rsid w:val="43D94613"/>
    <w:rsid w:val="48082904"/>
    <w:rsid w:val="481555BD"/>
    <w:rsid w:val="49DC634D"/>
    <w:rsid w:val="57FA05BA"/>
    <w:rsid w:val="5D012604"/>
    <w:rsid w:val="5EEA157D"/>
    <w:rsid w:val="63A90970"/>
    <w:rsid w:val="67CE76B0"/>
    <w:rsid w:val="6F9044C0"/>
    <w:rsid w:val="74804682"/>
    <w:rsid w:val="7C192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19"/>
    <w:qFormat/>
    <w:uiPriority w:val="0"/>
    <w:pPr>
      <w:keepNext/>
      <w:keepLines/>
      <w:spacing w:line="560" w:lineRule="exact"/>
      <w:ind w:firstLine="883" w:firstLineChars="200"/>
      <w:outlineLvl w:val="0"/>
    </w:pPr>
    <w:rPr>
      <w:rFonts w:asciiTheme="minorHAnsi" w:hAnsiTheme="minorHAnsi"/>
      <w:b/>
      <w:kern w:val="44"/>
      <w:sz w:val="32"/>
    </w:rPr>
  </w:style>
  <w:style w:type="paragraph" w:styleId="5">
    <w:name w:val="heading 2"/>
    <w:next w:val="1"/>
    <w:unhideWhenUsed/>
    <w:qFormat/>
    <w:uiPriority w:val="0"/>
    <w:pPr>
      <w:keepNext/>
      <w:keepLines/>
      <w:widowControl w:val="0"/>
      <w:spacing w:line="600" w:lineRule="exact"/>
      <w:jc w:val="both"/>
      <w:outlineLvl w:val="1"/>
    </w:pPr>
    <w:rPr>
      <w:rFonts w:ascii="Arial" w:hAnsi="Arial" w:eastAsia="黑体" w:cs="Times New Roman"/>
      <w:kern w:val="2"/>
      <w:sz w:val="30"/>
      <w:szCs w:val="22"/>
      <w:lang w:val="en-US" w:eastAsia="zh-CN" w:bidi="ar-SA"/>
    </w:rPr>
  </w:style>
  <w:style w:type="paragraph" w:styleId="6">
    <w:name w:val="heading 3"/>
    <w:next w:val="1"/>
    <w:qFormat/>
    <w:uiPriority w:val="9"/>
    <w:pPr>
      <w:widowControl/>
      <w:numPr>
        <w:ilvl w:val="2"/>
        <w:numId w:val="1"/>
      </w:numPr>
      <w:spacing w:beforeLines="50" w:afterLines="50"/>
      <w:jc w:val="left"/>
      <w:outlineLvl w:val="2"/>
    </w:pPr>
    <w:rPr>
      <w:rFonts w:ascii="Times New Roman" w:hAnsi="Times New Roman" w:eastAsia="宋体" w:cs="Times New Roman"/>
      <w:bCs/>
      <w:kern w:val="0"/>
      <w:sz w:val="24"/>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widowControl w:val="0"/>
      <w:ind w:left="420" w:leftChars="200"/>
      <w:jc w:val="both"/>
    </w:pPr>
    <w:rPr>
      <w:rFonts w:ascii="Calibri" w:hAnsi="Calibri" w:eastAsia="宋体" w:cs="Times New Roman"/>
      <w:kern w:val="2"/>
      <w:sz w:val="21"/>
      <w:szCs w:val="22"/>
      <w:lang w:val="en-US" w:eastAsia="zh-CN" w:bidi="ar-SA"/>
    </w:rPr>
  </w:style>
  <w:style w:type="paragraph" w:styleId="3">
    <w:name w:val="Body Text"/>
    <w:basedOn w:val="1"/>
    <w:qFormat/>
    <w:uiPriority w:val="1"/>
    <w:pPr>
      <w:adjustRightInd w:val="0"/>
      <w:snapToGrid w:val="0"/>
      <w:spacing w:after="120" w:line="360" w:lineRule="auto"/>
      <w:ind w:firstLine="200" w:firstLineChars="200"/>
    </w:pPr>
    <w:rPr>
      <w:rFonts w:ascii="Times New Roman" w:hAnsi="Times New Roman"/>
      <w:szCs w:val="20"/>
    </w:rPr>
  </w:style>
  <w:style w:type="paragraph" w:styleId="7">
    <w:name w:val="footer"/>
    <w:basedOn w:val="1"/>
    <w:unhideWhenUsed/>
    <w:qFormat/>
    <w:uiPriority w:val="99"/>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表格"/>
    <w:qFormat/>
    <w:uiPriority w:val="0"/>
    <w:pPr>
      <w:widowControl w:val="0"/>
      <w:jc w:val="center"/>
    </w:pPr>
    <w:rPr>
      <w:rFonts w:ascii="Calibri" w:hAnsi="Calibri" w:eastAsia="宋体" w:cs="Times New Roman"/>
      <w:kern w:val="2"/>
      <w:sz w:val="21"/>
      <w:szCs w:val="22"/>
      <w:lang w:val="en-US" w:eastAsia="zh-CN" w:bidi="ar-SA"/>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Normal_0"/>
    <w:qFormat/>
    <w:uiPriority w:val="0"/>
    <w:pPr>
      <w:spacing w:before="120" w:after="240"/>
      <w:jc w:val="both"/>
    </w:pPr>
    <w:rPr>
      <w:rFonts w:ascii="Calibri" w:hAnsi="Calibri" w:eastAsia="Calibri" w:cs="Times New Roman"/>
      <w:sz w:val="22"/>
      <w:szCs w:val="22"/>
      <w:lang w:val="en-US" w:eastAsia="en-US" w:bidi="ar-SA"/>
    </w:rPr>
  </w:style>
  <w:style w:type="character" w:customStyle="1" w:styleId="15">
    <w:name w:val="标题 3 Char1 Char Char1"/>
    <w:qFormat/>
    <w:uiPriority w:val="99"/>
    <w:rPr>
      <w:rFonts w:eastAsia="宋体"/>
      <w:b/>
      <w:kern w:val="2"/>
      <w:sz w:val="32"/>
      <w:lang w:val="en-US" w:eastAsia="zh-CN"/>
    </w:rPr>
  </w:style>
  <w:style w:type="paragraph" w:customStyle="1" w:styleId="16">
    <w:name w:val="Body text|1"/>
    <w:qFormat/>
    <w:uiPriority w:val="0"/>
    <w:pPr>
      <w:widowControl w:val="0"/>
      <w:spacing w:line="480" w:lineRule="auto"/>
      <w:ind w:firstLine="400"/>
      <w:jc w:val="both"/>
    </w:pPr>
    <w:rPr>
      <w:rFonts w:ascii="宋体" w:hAnsi="宋体" w:eastAsia="宋体" w:cs="宋体"/>
      <w:kern w:val="2"/>
      <w:sz w:val="26"/>
      <w:szCs w:val="26"/>
      <w:lang w:val="zh-TW" w:eastAsia="zh-TW" w:bidi="zh-TW"/>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 w:type="character" w:customStyle="1" w:styleId="19">
    <w:name w:val="标题 1 Char"/>
    <w:link w:val="4"/>
    <w:qFormat/>
    <w:uiPriority w:val="0"/>
    <w:rPr>
      <w:rFonts w:asciiTheme="minorHAnsi" w:hAnsiTheme="minorHAnsi"/>
      <w:b/>
      <w:kern w:val="44"/>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38.jpeg"/><Relationship Id="rId52" Type="http://schemas.openxmlformats.org/officeDocument/2006/relationships/image" Target="media/image37.jpeg"/><Relationship Id="rId51" Type="http://schemas.openxmlformats.org/officeDocument/2006/relationships/image" Target="media/image36.jpeg"/><Relationship Id="rId50" Type="http://schemas.openxmlformats.org/officeDocument/2006/relationships/image" Target="media/image35.jpeg"/><Relationship Id="rId5" Type="http://schemas.openxmlformats.org/officeDocument/2006/relationships/footer" Target="footer3.xml"/><Relationship Id="rId49" Type="http://schemas.openxmlformats.org/officeDocument/2006/relationships/image" Target="media/image34.jpeg"/><Relationship Id="rId48" Type="http://schemas.openxmlformats.org/officeDocument/2006/relationships/image" Target="media/image33.jpeg"/><Relationship Id="rId47" Type="http://schemas.openxmlformats.org/officeDocument/2006/relationships/image" Target="media/image32.jpeg"/><Relationship Id="rId46" Type="http://schemas.openxmlformats.org/officeDocument/2006/relationships/image" Target="media/image31.jpeg"/><Relationship Id="rId45" Type="http://schemas.openxmlformats.org/officeDocument/2006/relationships/image" Target="media/image30.jpeg"/><Relationship Id="rId44" Type="http://schemas.openxmlformats.org/officeDocument/2006/relationships/image" Target="media/image29.jpeg"/><Relationship Id="rId43" Type="http://schemas.openxmlformats.org/officeDocument/2006/relationships/image" Target="media/image28.jpeg"/><Relationship Id="rId42" Type="http://schemas.openxmlformats.org/officeDocument/2006/relationships/image" Target="media/image27.jpeg"/><Relationship Id="rId41" Type="http://schemas.openxmlformats.org/officeDocument/2006/relationships/image" Target="media/image26.png"/><Relationship Id="rId40" Type="http://schemas.openxmlformats.org/officeDocument/2006/relationships/image" Target="media/image25.jpeg"/><Relationship Id="rId4" Type="http://schemas.openxmlformats.org/officeDocument/2006/relationships/footer" Target="footer2.xml"/><Relationship Id="rId39" Type="http://schemas.openxmlformats.org/officeDocument/2006/relationships/image" Target="media/image24.png"/><Relationship Id="rId38" Type="http://schemas.openxmlformats.org/officeDocument/2006/relationships/image" Target="media/image23.jpeg"/><Relationship Id="rId37" Type="http://schemas.openxmlformats.org/officeDocument/2006/relationships/image" Target="media/image22.jpeg"/><Relationship Id="rId36" Type="http://schemas.openxmlformats.org/officeDocument/2006/relationships/chart" Target="charts/chart8.xml"/><Relationship Id="rId35" Type="http://schemas.openxmlformats.org/officeDocument/2006/relationships/chart" Target="charts/chart7.xml"/><Relationship Id="rId34" Type="http://schemas.openxmlformats.org/officeDocument/2006/relationships/chart" Target="charts/chart6.xml"/><Relationship Id="rId33" Type="http://schemas.openxmlformats.org/officeDocument/2006/relationships/chart" Target="charts/chart5.xml"/><Relationship Id="rId32" Type="http://schemas.openxmlformats.org/officeDocument/2006/relationships/chart" Target="charts/chart4.xml"/><Relationship Id="rId31" Type="http://schemas.openxmlformats.org/officeDocument/2006/relationships/chart" Target="charts/chart3.xml"/><Relationship Id="rId30" Type="http://schemas.openxmlformats.org/officeDocument/2006/relationships/chart" Target="charts/chart2.xml"/><Relationship Id="rId3" Type="http://schemas.openxmlformats.org/officeDocument/2006/relationships/footer" Target="footer1.xml"/><Relationship Id="rId29" Type="http://schemas.openxmlformats.org/officeDocument/2006/relationships/chart" Target="charts/chart1.xml"/><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package" Target="../embeddings/Workbook8.xlsx"/></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8.xml.rels><?xml version="1.0" encoding="UTF-8" standalone="yes"?>
<Relationships xmlns="http://schemas.openxmlformats.org/package/2006/relationships"><Relationship Id="rId4" Type="http://schemas.microsoft.com/office/2011/relationships/chartColorStyle" Target="colors7.xml"/><Relationship Id="rId3" Type="http://schemas.microsoft.com/office/2011/relationships/chartStyle" Target="style7.xml"/><Relationship Id="rId2" Type="http://schemas.openxmlformats.org/officeDocument/2006/relationships/themeOverride" Target="../theme/themeOverride1.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1#</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Sheet1!$I$3</c:f>
              <c:strCache>
                <c:ptCount val="1"/>
                <c:pt idx="0">
                  <c:v>0~0.5m</c:v>
                </c:pt>
              </c:strCache>
            </c:strRef>
          </c:tx>
          <c:spPr>
            <a:solidFill>
              <a:schemeClr val="accent2"/>
            </a:solidFill>
            <a:ln>
              <a:noFill/>
            </a:ln>
            <a:effectLst>
              <a:outerShdw blurRad="76200" dir="18900000" sy="23000" kx="-1200000" algn="bl" rotWithShape="0">
                <a:prstClr val="black">
                  <a:alpha val="10000"/>
                </a:prstClr>
              </a:outerShdw>
            </a:effectLst>
          </c:spPr>
          <c:invertIfNegative val="0"/>
          <c:dLbls>
            <c:delete val="1"/>
          </c:dLbls>
          <c:cat>
            <c:strRef>
              <c:f>Sheet1!$H$4:$H$14</c:f>
              <c:strCache>
                <c:ptCount val="11"/>
                <c:pt idx="0">
                  <c:v>镉</c:v>
                </c:pt>
                <c:pt idx="1">
                  <c:v>汞</c:v>
                </c:pt>
                <c:pt idx="2">
                  <c:v>砷</c:v>
                </c:pt>
                <c:pt idx="3">
                  <c:v>铜</c:v>
                </c:pt>
                <c:pt idx="4">
                  <c:v>铅</c:v>
                </c:pt>
                <c:pt idx="5">
                  <c:v>镍</c:v>
                </c:pt>
                <c:pt idx="6">
                  <c:v>六价铬</c:v>
                </c:pt>
                <c:pt idx="7">
                  <c:v>PH</c:v>
                </c:pt>
                <c:pt idx="8">
                  <c:v>苯并[a]芘</c:v>
                </c:pt>
                <c:pt idx="9">
                  <c:v>䓛</c:v>
                </c:pt>
                <c:pt idx="10">
                  <c:v>萘</c:v>
                </c:pt>
              </c:strCache>
            </c:strRef>
          </c:cat>
          <c:val>
            <c:numRef>
              <c:f>Sheet1!$I$4:$I$14</c:f>
              <c:numCache>
                <c:formatCode>General</c:formatCode>
                <c:ptCount val="11"/>
                <c:pt idx="0">
                  <c:v>0.186</c:v>
                </c:pt>
                <c:pt idx="1">
                  <c:v>0.074</c:v>
                </c:pt>
                <c:pt idx="2">
                  <c:v>8.04</c:v>
                </c:pt>
                <c:pt idx="3">
                  <c:v>18</c:v>
                </c:pt>
                <c:pt idx="4">
                  <c:v>32</c:v>
                </c:pt>
                <c:pt idx="5">
                  <c:v>40</c:v>
                </c:pt>
                <c:pt idx="6">
                  <c:v>1.2</c:v>
                </c:pt>
                <c:pt idx="7">
                  <c:v>8.37</c:v>
                </c:pt>
                <c:pt idx="8">
                  <c:v>0</c:v>
                </c:pt>
                <c:pt idx="9">
                  <c:v>0</c:v>
                </c:pt>
                <c:pt idx="10">
                  <c:v>0</c:v>
                </c:pt>
              </c:numCache>
            </c:numRef>
          </c:val>
        </c:ser>
        <c:ser>
          <c:idx val="1"/>
          <c:order val="1"/>
          <c:tx>
            <c:strRef>
              <c:f>Sheet1!$J$3</c:f>
              <c:strCache>
                <c:ptCount val="1"/>
                <c:pt idx="0">
                  <c:v>1.0~2.0m</c:v>
                </c:pt>
              </c:strCache>
            </c:strRef>
          </c:tx>
          <c:spPr>
            <a:solidFill>
              <a:schemeClr val="accent4"/>
            </a:solidFill>
            <a:ln>
              <a:noFill/>
            </a:ln>
            <a:effectLst>
              <a:outerShdw blurRad="76200" dir="18900000" sy="23000" kx="-1200000" algn="bl" rotWithShape="0">
                <a:prstClr val="black">
                  <a:alpha val="10000"/>
                </a:prstClr>
              </a:outerShdw>
            </a:effectLst>
          </c:spPr>
          <c:invertIfNegative val="0"/>
          <c:dLbls>
            <c:delete val="1"/>
          </c:dLbls>
          <c:cat>
            <c:strRef>
              <c:f>Sheet1!$H$4:$H$14</c:f>
              <c:strCache>
                <c:ptCount val="11"/>
                <c:pt idx="0">
                  <c:v>镉</c:v>
                </c:pt>
                <c:pt idx="1">
                  <c:v>汞</c:v>
                </c:pt>
                <c:pt idx="2">
                  <c:v>砷</c:v>
                </c:pt>
                <c:pt idx="3">
                  <c:v>铜</c:v>
                </c:pt>
                <c:pt idx="4">
                  <c:v>铅</c:v>
                </c:pt>
                <c:pt idx="5">
                  <c:v>镍</c:v>
                </c:pt>
                <c:pt idx="6">
                  <c:v>六价铬</c:v>
                </c:pt>
                <c:pt idx="7">
                  <c:v>PH</c:v>
                </c:pt>
                <c:pt idx="8">
                  <c:v>苯并[a]芘</c:v>
                </c:pt>
                <c:pt idx="9">
                  <c:v>䓛</c:v>
                </c:pt>
                <c:pt idx="10">
                  <c:v>萘</c:v>
                </c:pt>
              </c:strCache>
            </c:strRef>
          </c:cat>
          <c:val>
            <c:numRef>
              <c:f>Sheet1!$J$4:$J$14</c:f>
              <c:numCache>
                <c:formatCode>General</c:formatCode>
                <c:ptCount val="11"/>
                <c:pt idx="0">
                  <c:v>0.17</c:v>
                </c:pt>
                <c:pt idx="1">
                  <c:v>0.044</c:v>
                </c:pt>
                <c:pt idx="2">
                  <c:v>10.6</c:v>
                </c:pt>
                <c:pt idx="3">
                  <c:v>24</c:v>
                </c:pt>
                <c:pt idx="4">
                  <c:v>40</c:v>
                </c:pt>
                <c:pt idx="5">
                  <c:v>46</c:v>
                </c:pt>
                <c:pt idx="6">
                  <c:v>1.5</c:v>
                </c:pt>
                <c:pt idx="7">
                  <c:v>8.08</c:v>
                </c:pt>
                <c:pt idx="8">
                  <c:v>0</c:v>
                </c:pt>
                <c:pt idx="9">
                  <c:v>0</c:v>
                </c:pt>
                <c:pt idx="10">
                  <c:v>0</c:v>
                </c:pt>
              </c:numCache>
            </c:numRef>
          </c:val>
        </c:ser>
        <c:ser>
          <c:idx val="2"/>
          <c:order val="2"/>
          <c:tx>
            <c:strRef>
              <c:f>Sheet1!$K$3</c:f>
              <c:strCache>
                <c:ptCount val="1"/>
                <c:pt idx="0">
                  <c:v>2.0~3.0m</c:v>
                </c:pt>
              </c:strCache>
            </c:strRef>
          </c:tx>
          <c:spPr>
            <a:solidFill>
              <a:schemeClr val="accent6"/>
            </a:solidFill>
            <a:ln>
              <a:noFill/>
            </a:ln>
            <a:effectLst>
              <a:outerShdw blurRad="76200" dir="18900000" sy="23000" kx="-1200000" algn="bl" rotWithShape="0">
                <a:prstClr val="black">
                  <a:alpha val="10000"/>
                </a:prstClr>
              </a:outerShdw>
            </a:effectLst>
          </c:spPr>
          <c:invertIfNegative val="0"/>
          <c:dLbls>
            <c:delete val="1"/>
          </c:dLbls>
          <c:cat>
            <c:strRef>
              <c:f>Sheet1!$H$4:$H$14</c:f>
              <c:strCache>
                <c:ptCount val="11"/>
                <c:pt idx="0">
                  <c:v>镉</c:v>
                </c:pt>
                <c:pt idx="1">
                  <c:v>汞</c:v>
                </c:pt>
                <c:pt idx="2">
                  <c:v>砷</c:v>
                </c:pt>
                <c:pt idx="3">
                  <c:v>铜</c:v>
                </c:pt>
                <c:pt idx="4">
                  <c:v>铅</c:v>
                </c:pt>
                <c:pt idx="5">
                  <c:v>镍</c:v>
                </c:pt>
                <c:pt idx="6">
                  <c:v>六价铬</c:v>
                </c:pt>
                <c:pt idx="7">
                  <c:v>PH</c:v>
                </c:pt>
                <c:pt idx="8">
                  <c:v>苯并[a]芘</c:v>
                </c:pt>
                <c:pt idx="9">
                  <c:v>䓛</c:v>
                </c:pt>
                <c:pt idx="10">
                  <c:v>萘</c:v>
                </c:pt>
              </c:strCache>
            </c:strRef>
          </c:cat>
          <c:val>
            <c:numRef>
              <c:f>Sheet1!$K$4:$K$14</c:f>
              <c:numCache>
                <c:formatCode>General</c:formatCode>
                <c:ptCount val="11"/>
                <c:pt idx="0">
                  <c:v>0.172</c:v>
                </c:pt>
                <c:pt idx="1">
                  <c:v>0.076</c:v>
                </c:pt>
                <c:pt idx="2">
                  <c:v>8.85</c:v>
                </c:pt>
                <c:pt idx="3">
                  <c:v>22</c:v>
                </c:pt>
                <c:pt idx="4">
                  <c:v>25</c:v>
                </c:pt>
                <c:pt idx="5">
                  <c:v>43</c:v>
                </c:pt>
                <c:pt idx="6">
                  <c:v>1.5</c:v>
                </c:pt>
                <c:pt idx="7">
                  <c:v>8.05</c:v>
                </c:pt>
                <c:pt idx="8">
                  <c:v>0.0005</c:v>
                </c:pt>
                <c:pt idx="9">
                  <c:v>0.0005</c:v>
                </c:pt>
                <c:pt idx="10">
                  <c:v>0.0089</c:v>
                </c:pt>
              </c:numCache>
            </c:numRef>
          </c:val>
        </c:ser>
        <c:dLbls>
          <c:showLegendKey val="0"/>
          <c:showVal val="0"/>
          <c:showCatName val="0"/>
          <c:showSerName val="0"/>
          <c:showPercent val="0"/>
          <c:showBubbleSize val="0"/>
        </c:dLbls>
        <c:gapWidth val="500"/>
        <c:overlap val="-40"/>
        <c:axId val="755527195"/>
        <c:axId val="808803281"/>
      </c:barChart>
      <c:catAx>
        <c:axId val="755527195"/>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808803281"/>
        <c:crosses val="autoZero"/>
        <c:auto val="1"/>
        <c:lblAlgn val="ctr"/>
        <c:lblOffset val="100"/>
        <c:noMultiLvlLbl val="0"/>
      </c:catAx>
      <c:valAx>
        <c:axId val="808803281"/>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75552719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2#</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Sheet1!$H$5</c:f>
              <c:strCache>
                <c:ptCount val="1"/>
                <c:pt idx="0">
                  <c:v>0~0.5m</c:v>
                </c:pt>
              </c:strCache>
            </c:strRef>
          </c:tx>
          <c:spPr>
            <a:solidFill>
              <a:schemeClr val="accent2"/>
            </a:solidFill>
            <a:ln>
              <a:noFill/>
            </a:ln>
            <a:effectLst>
              <a:outerShdw blurRad="76200" dir="18900000" sy="23000" kx="-1200000" algn="bl" rotWithShape="0">
                <a:prstClr val="black">
                  <a:alpha val="10000"/>
                </a:prstClr>
              </a:outerShdw>
            </a:effectLst>
          </c:spPr>
          <c:invertIfNegative val="0"/>
          <c:dLbls>
            <c:delete val="1"/>
          </c:dLbls>
          <c:cat>
            <c:strRef>
              <c:f>Sheet1!$G$6:$G$16</c:f>
              <c:strCache>
                <c:ptCount val="11"/>
                <c:pt idx="0">
                  <c:v>镉</c:v>
                </c:pt>
                <c:pt idx="1">
                  <c:v>汞</c:v>
                </c:pt>
                <c:pt idx="2">
                  <c:v>砷</c:v>
                </c:pt>
                <c:pt idx="3">
                  <c:v>铜</c:v>
                </c:pt>
                <c:pt idx="4">
                  <c:v>铅</c:v>
                </c:pt>
                <c:pt idx="5">
                  <c:v>镍</c:v>
                </c:pt>
                <c:pt idx="6">
                  <c:v>六价铬</c:v>
                </c:pt>
                <c:pt idx="7">
                  <c:v>PH</c:v>
                </c:pt>
                <c:pt idx="8">
                  <c:v>苯并[b]荧蒽</c:v>
                </c:pt>
                <c:pt idx="9">
                  <c:v>䓛</c:v>
                </c:pt>
                <c:pt idx="10">
                  <c:v>萘</c:v>
                </c:pt>
              </c:strCache>
            </c:strRef>
          </c:cat>
          <c:val>
            <c:numRef>
              <c:f>Sheet1!$H$6:$H$16</c:f>
              <c:numCache>
                <c:formatCode>General</c:formatCode>
                <c:ptCount val="11"/>
                <c:pt idx="0">
                  <c:v>0.166</c:v>
                </c:pt>
                <c:pt idx="1">
                  <c:v>0.08</c:v>
                </c:pt>
                <c:pt idx="2">
                  <c:v>7.18</c:v>
                </c:pt>
                <c:pt idx="3">
                  <c:v>18</c:v>
                </c:pt>
                <c:pt idx="4">
                  <c:v>39</c:v>
                </c:pt>
                <c:pt idx="5">
                  <c:v>37</c:v>
                </c:pt>
                <c:pt idx="6">
                  <c:v>1.5</c:v>
                </c:pt>
                <c:pt idx="7">
                  <c:v>8.77</c:v>
                </c:pt>
                <c:pt idx="8">
                  <c:v>0</c:v>
                </c:pt>
                <c:pt idx="9">
                  <c:v>0.0011</c:v>
                </c:pt>
                <c:pt idx="10">
                  <c:v>0.0089</c:v>
                </c:pt>
              </c:numCache>
            </c:numRef>
          </c:val>
        </c:ser>
        <c:ser>
          <c:idx val="1"/>
          <c:order val="1"/>
          <c:tx>
            <c:strRef>
              <c:f>Sheet1!$I$5</c:f>
              <c:strCache>
                <c:ptCount val="1"/>
                <c:pt idx="0">
                  <c:v>1.0~2.0m</c:v>
                </c:pt>
              </c:strCache>
            </c:strRef>
          </c:tx>
          <c:spPr>
            <a:solidFill>
              <a:schemeClr val="accent4"/>
            </a:solidFill>
            <a:ln>
              <a:noFill/>
            </a:ln>
            <a:effectLst>
              <a:outerShdw blurRad="76200" dir="18900000" sy="23000" kx="-1200000" algn="bl" rotWithShape="0">
                <a:prstClr val="black">
                  <a:alpha val="10000"/>
                </a:prstClr>
              </a:outerShdw>
            </a:effectLst>
          </c:spPr>
          <c:invertIfNegative val="0"/>
          <c:dLbls>
            <c:delete val="1"/>
          </c:dLbls>
          <c:cat>
            <c:strRef>
              <c:f>Sheet1!$G$6:$G$16</c:f>
              <c:strCache>
                <c:ptCount val="11"/>
                <c:pt idx="0">
                  <c:v>镉</c:v>
                </c:pt>
                <c:pt idx="1">
                  <c:v>汞</c:v>
                </c:pt>
                <c:pt idx="2">
                  <c:v>砷</c:v>
                </c:pt>
                <c:pt idx="3">
                  <c:v>铜</c:v>
                </c:pt>
                <c:pt idx="4">
                  <c:v>铅</c:v>
                </c:pt>
                <c:pt idx="5">
                  <c:v>镍</c:v>
                </c:pt>
                <c:pt idx="6">
                  <c:v>六价铬</c:v>
                </c:pt>
                <c:pt idx="7">
                  <c:v>PH</c:v>
                </c:pt>
                <c:pt idx="8">
                  <c:v>苯并[b]荧蒽</c:v>
                </c:pt>
                <c:pt idx="9">
                  <c:v>䓛</c:v>
                </c:pt>
                <c:pt idx="10">
                  <c:v>萘</c:v>
                </c:pt>
              </c:strCache>
            </c:strRef>
          </c:cat>
          <c:val>
            <c:numRef>
              <c:f>Sheet1!$I$6:$I$16</c:f>
              <c:numCache>
                <c:formatCode>General</c:formatCode>
                <c:ptCount val="11"/>
                <c:pt idx="0">
                  <c:v>0.158</c:v>
                </c:pt>
                <c:pt idx="1">
                  <c:v>0.097</c:v>
                </c:pt>
                <c:pt idx="2">
                  <c:v>9.12</c:v>
                </c:pt>
                <c:pt idx="3">
                  <c:v>21</c:v>
                </c:pt>
                <c:pt idx="4">
                  <c:v>25</c:v>
                </c:pt>
                <c:pt idx="5">
                  <c:v>45</c:v>
                </c:pt>
                <c:pt idx="6">
                  <c:v>1.6</c:v>
                </c:pt>
                <c:pt idx="7">
                  <c:v>8.91</c:v>
                </c:pt>
                <c:pt idx="8">
                  <c:v>0.0008</c:v>
                </c:pt>
                <c:pt idx="9">
                  <c:v>0.0018</c:v>
                </c:pt>
                <c:pt idx="10">
                  <c:v>0.0109</c:v>
                </c:pt>
              </c:numCache>
            </c:numRef>
          </c:val>
        </c:ser>
        <c:ser>
          <c:idx val="2"/>
          <c:order val="2"/>
          <c:tx>
            <c:strRef>
              <c:f>Sheet1!$J$5</c:f>
              <c:strCache>
                <c:ptCount val="1"/>
                <c:pt idx="0">
                  <c:v>2.0~3.0m</c:v>
                </c:pt>
              </c:strCache>
            </c:strRef>
          </c:tx>
          <c:spPr>
            <a:solidFill>
              <a:schemeClr val="accent6"/>
            </a:solidFill>
            <a:ln>
              <a:noFill/>
            </a:ln>
            <a:effectLst>
              <a:outerShdw blurRad="76200" dir="18900000" sy="23000" kx="-1200000" algn="bl" rotWithShape="0">
                <a:prstClr val="black">
                  <a:alpha val="10000"/>
                </a:prstClr>
              </a:outerShdw>
            </a:effectLst>
          </c:spPr>
          <c:invertIfNegative val="0"/>
          <c:dLbls>
            <c:delete val="1"/>
          </c:dLbls>
          <c:cat>
            <c:strRef>
              <c:f>Sheet1!$G$6:$G$16</c:f>
              <c:strCache>
                <c:ptCount val="11"/>
                <c:pt idx="0">
                  <c:v>镉</c:v>
                </c:pt>
                <c:pt idx="1">
                  <c:v>汞</c:v>
                </c:pt>
                <c:pt idx="2">
                  <c:v>砷</c:v>
                </c:pt>
                <c:pt idx="3">
                  <c:v>铜</c:v>
                </c:pt>
                <c:pt idx="4">
                  <c:v>铅</c:v>
                </c:pt>
                <c:pt idx="5">
                  <c:v>镍</c:v>
                </c:pt>
                <c:pt idx="6">
                  <c:v>六价铬</c:v>
                </c:pt>
                <c:pt idx="7">
                  <c:v>PH</c:v>
                </c:pt>
                <c:pt idx="8">
                  <c:v>苯并[b]荧蒽</c:v>
                </c:pt>
                <c:pt idx="9">
                  <c:v>䓛</c:v>
                </c:pt>
                <c:pt idx="10">
                  <c:v>萘</c:v>
                </c:pt>
              </c:strCache>
            </c:strRef>
          </c:cat>
          <c:val>
            <c:numRef>
              <c:f>Sheet1!$J$6:$J$16</c:f>
              <c:numCache>
                <c:formatCode>General</c:formatCode>
                <c:ptCount val="11"/>
                <c:pt idx="0">
                  <c:v>0.131</c:v>
                </c:pt>
                <c:pt idx="1">
                  <c:v>0.041</c:v>
                </c:pt>
                <c:pt idx="2">
                  <c:v>7.6</c:v>
                </c:pt>
                <c:pt idx="3">
                  <c:v>19</c:v>
                </c:pt>
                <c:pt idx="4">
                  <c:v>47</c:v>
                </c:pt>
                <c:pt idx="5">
                  <c:v>41</c:v>
                </c:pt>
                <c:pt idx="6">
                  <c:v>2.3</c:v>
                </c:pt>
                <c:pt idx="7">
                  <c:v>8.71</c:v>
                </c:pt>
                <c:pt idx="8">
                  <c:v>0</c:v>
                </c:pt>
                <c:pt idx="9">
                  <c:v>0</c:v>
                </c:pt>
                <c:pt idx="10">
                  <c:v>0</c:v>
                </c:pt>
              </c:numCache>
            </c:numRef>
          </c:val>
        </c:ser>
        <c:dLbls>
          <c:showLegendKey val="0"/>
          <c:showVal val="0"/>
          <c:showCatName val="0"/>
          <c:showSerName val="0"/>
          <c:showPercent val="0"/>
          <c:showBubbleSize val="0"/>
        </c:dLbls>
        <c:gapWidth val="500"/>
        <c:overlap val="-40"/>
        <c:axId val="327926067"/>
        <c:axId val="449738772"/>
      </c:barChart>
      <c:catAx>
        <c:axId val="327926067"/>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449738772"/>
        <c:crosses val="autoZero"/>
        <c:auto val="1"/>
        <c:lblAlgn val="ctr"/>
        <c:lblOffset val="100"/>
        <c:noMultiLvlLbl val="0"/>
      </c:catAx>
      <c:valAx>
        <c:axId val="449738772"/>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32792606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3#</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Sheet1!$J$5</c:f>
              <c:strCache>
                <c:ptCount val="1"/>
                <c:pt idx="0">
                  <c:v>0~0.5m</c:v>
                </c:pt>
              </c:strCache>
            </c:strRef>
          </c:tx>
          <c:spPr>
            <a:solidFill>
              <a:schemeClr val="accent2"/>
            </a:solidFill>
            <a:ln>
              <a:noFill/>
            </a:ln>
            <a:effectLst>
              <a:outerShdw blurRad="76200" dir="18900000" sy="23000" kx="-1200000" algn="bl" rotWithShape="0">
                <a:prstClr val="black">
                  <a:alpha val="10000"/>
                </a:prstClr>
              </a:outerShdw>
            </a:effectLst>
          </c:spPr>
          <c:invertIfNegative val="0"/>
          <c:dLbls>
            <c:delete val="1"/>
          </c:dLbls>
          <c:cat>
            <c:strRef>
              <c:f>Sheet1!$I$6:$I$13</c:f>
              <c:strCache>
                <c:ptCount val="8"/>
                <c:pt idx="0">
                  <c:v>镉</c:v>
                </c:pt>
                <c:pt idx="1">
                  <c:v>汞</c:v>
                </c:pt>
                <c:pt idx="2">
                  <c:v>砷</c:v>
                </c:pt>
                <c:pt idx="3">
                  <c:v>铜</c:v>
                </c:pt>
                <c:pt idx="4">
                  <c:v>铅</c:v>
                </c:pt>
                <c:pt idx="5">
                  <c:v>镍</c:v>
                </c:pt>
                <c:pt idx="6">
                  <c:v>六价铬</c:v>
                </c:pt>
                <c:pt idx="7">
                  <c:v>PH</c:v>
                </c:pt>
              </c:strCache>
            </c:strRef>
          </c:cat>
          <c:val>
            <c:numRef>
              <c:f>Sheet1!$J$6:$J$13</c:f>
              <c:numCache>
                <c:formatCode>General</c:formatCode>
                <c:ptCount val="8"/>
                <c:pt idx="0">
                  <c:v>0.162</c:v>
                </c:pt>
                <c:pt idx="1">
                  <c:v>0.116</c:v>
                </c:pt>
                <c:pt idx="2">
                  <c:v>7.71</c:v>
                </c:pt>
                <c:pt idx="3">
                  <c:v>19</c:v>
                </c:pt>
                <c:pt idx="4">
                  <c:v>47</c:v>
                </c:pt>
                <c:pt idx="5">
                  <c:v>37</c:v>
                </c:pt>
                <c:pt idx="6">
                  <c:v>2.3</c:v>
                </c:pt>
                <c:pt idx="7">
                  <c:v>8</c:v>
                </c:pt>
              </c:numCache>
            </c:numRef>
          </c:val>
        </c:ser>
        <c:ser>
          <c:idx val="1"/>
          <c:order val="1"/>
          <c:tx>
            <c:strRef>
              <c:f>Sheet1!$K$5</c:f>
              <c:strCache>
                <c:ptCount val="1"/>
                <c:pt idx="0">
                  <c:v>1.0~2.0m</c:v>
                </c:pt>
              </c:strCache>
            </c:strRef>
          </c:tx>
          <c:spPr>
            <a:solidFill>
              <a:schemeClr val="accent4"/>
            </a:solidFill>
            <a:ln>
              <a:noFill/>
            </a:ln>
            <a:effectLst>
              <a:outerShdw blurRad="76200" dir="18900000" sy="23000" kx="-1200000" algn="bl" rotWithShape="0">
                <a:prstClr val="black">
                  <a:alpha val="10000"/>
                </a:prstClr>
              </a:outerShdw>
            </a:effectLst>
          </c:spPr>
          <c:invertIfNegative val="0"/>
          <c:dLbls>
            <c:delete val="1"/>
          </c:dLbls>
          <c:cat>
            <c:strRef>
              <c:f>Sheet1!$I$6:$I$13</c:f>
              <c:strCache>
                <c:ptCount val="8"/>
                <c:pt idx="0">
                  <c:v>镉</c:v>
                </c:pt>
                <c:pt idx="1">
                  <c:v>汞</c:v>
                </c:pt>
                <c:pt idx="2">
                  <c:v>砷</c:v>
                </c:pt>
                <c:pt idx="3">
                  <c:v>铜</c:v>
                </c:pt>
                <c:pt idx="4">
                  <c:v>铅</c:v>
                </c:pt>
                <c:pt idx="5">
                  <c:v>镍</c:v>
                </c:pt>
                <c:pt idx="6">
                  <c:v>六价铬</c:v>
                </c:pt>
                <c:pt idx="7">
                  <c:v>PH</c:v>
                </c:pt>
              </c:strCache>
            </c:strRef>
          </c:cat>
          <c:val>
            <c:numRef>
              <c:f>Sheet1!$K$6:$K$13</c:f>
              <c:numCache>
                <c:formatCode>General</c:formatCode>
                <c:ptCount val="8"/>
                <c:pt idx="0">
                  <c:v>0.125</c:v>
                </c:pt>
                <c:pt idx="1">
                  <c:v>0.541</c:v>
                </c:pt>
                <c:pt idx="2">
                  <c:v>8.89</c:v>
                </c:pt>
                <c:pt idx="3">
                  <c:v>21</c:v>
                </c:pt>
                <c:pt idx="4">
                  <c:v>39</c:v>
                </c:pt>
                <c:pt idx="5">
                  <c:v>45</c:v>
                </c:pt>
                <c:pt idx="6">
                  <c:v>1.9</c:v>
                </c:pt>
                <c:pt idx="7">
                  <c:v>8.09</c:v>
                </c:pt>
              </c:numCache>
            </c:numRef>
          </c:val>
        </c:ser>
        <c:ser>
          <c:idx val="2"/>
          <c:order val="2"/>
          <c:tx>
            <c:strRef>
              <c:f>Sheet1!$L$5</c:f>
              <c:strCache>
                <c:ptCount val="1"/>
                <c:pt idx="0">
                  <c:v>2.0~3.0m</c:v>
                </c:pt>
              </c:strCache>
            </c:strRef>
          </c:tx>
          <c:spPr>
            <a:solidFill>
              <a:schemeClr val="accent6"/>
            </a:solidFill>
            <a:ln>
              <a:noFill/>
            </a:ln>
            <a:effectLst>
              <a:outerShdw blurRad="76200" dir="18900000" sy="23000" kx="-1200000" algn="bl" rotWithShape="0">
                <a:prstClr val="black">
                  <a:alpha val="10000"/>
                </a:prstClr>
              </a:outerShdw>
            </a:effectLst>
          </c:spPr>
          <c:invertIfNegative val="0"/>
          <c:dLbls>
            <c:delete val="1"/>
          </c:dLbls>
          <c:cat>
            <c:strRef>
              <c:f>Sheet1!$I$6:$I$13</c:f>
              <c:strCache>
                <c:ptCount val="8"/>
                <c:pt idx="0">
                  <c:v>镉</c:v>
                </c:pt>
                <c:pt idx="1">
                  <c:v>汞</c:v>
                </c:pt>
                <c:pt idx="2">
                  <c:v>砷</c:v>
                </c:pt>
                <c:pt idx="3">
                  <c:v>铜</c:v>
                </c:pt>
                <c:pt idx="4">
                  <c:v>铅</c:v>
                </c:pt>
                <c:pt idx="5">
                  <c:v>镍</c:v>
                </c:pt>
                <c:pt idx="6">
                  <c:v>六价铬</c:v>
                </c:pt>
                <c:pt idx="7">
                  <c:v>PH</c:v>
                </c:pt>
              </c:strCache>
            </c:strRef>
          </c:cat>
          <c:val>
            <c:numRef>
              <c:f>Sheet1!$L$6:$L$13</c:f>
              <c:numCache>
                <c:formatCode>General</c:formatCode>
                <c:ptCount val="8"/>
                <c:pt idx="0">
                  <c:v>0.129</c:v>
                </c:pt>
                <c:pt idx="1">
                  <c:v>0.109</c:v>
                </c:pt>
                <c:pt idx="2">
                  <c:v>7.29</c:v>
                </c:pt>
                <c:pt idx="3">
                  <c:v>19</c:v>
                </c:pt>
                <c:pt idx="4">
                  <c:v>47</c:v>
                </c:pt>
                <c:pt idx="5">
                  <c:v>39</c:v>
                </c:pt>
                <c:pt idx="6">
                  <c:v>1.6</c:v>
                </c:pt>
                <c:pt idx="7">
                  <c:v>8.26</c:v>
                </c:pt>
              </c:numCache>
            </c:numRef>
          </c:val>
        </c:ser>
        <c:dLbls>
          <c:showLegendKey val="0"/>
          <c:showVal val="0"/>
          <c:showCatName val="0"/>
          <c:showSerName val="0"/>
          <c:showPercent val="0"/>
          <c:showBubbleSize val="0"/>
        </c:dLbls>
        <c:gapWidth val="500"/>
        <c:overlap val="-40"/>
        <c:axId val="319846201"/>
        <c:axId val="883249688"/>
      </c:barChart>
      <c:catAx>
        <c:axId val="319846201"/>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883249688"/>
        <c:crosses val="autoZero"/>
        <c:auto val="1"/>
        <c:lblAlgn val="ctr"/>
        <c:lblOffset val="100"/>
        <c:noMultiLvlLbl val="0"/>
      </c:catAx>
      <c:valAx>
        <c:axId val="883249688"/>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31984620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4#</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Sheet1!$I$9</c:f>
              <c:strCache>
                <c:ptCount val="1"/>
                <c:pt idx="0">
                  <c:v>0~0.5m</c:v>
                </c:pt>
              </c:strCache>
            </c:strRef>
          </c:tx>
          <c:spPr>
            <a:solidFill>
              <a:schemeClr val="accent2"/>
            </a:solidFill>
            <a:ln>
              <a:noFill/>
            </a:ln>
            <a:effectLst/>
          </c:spPr>
          <c:invertIfNegative val="0"/>
          <c:dLbls>
            <c:delete val="1"/>
          </c:dLbls>
          <c:cat>
            <c:strRef>
              <c:f>Sheet1!$H$10:$H$17</c:f>
              <c:strCache>
                <c:ptCount val="8"/>
                <c:pt idx="0">
                  <c:v>镉</c:v>
                </c:pt>
                <c:pt idx="1">
                  <c:v>汞</c:v>
                </c:pt>
                <c:pt idx="2">
                  <c:v>砷</c:v>
                </c:pt>
                <c:pt idx="3">
                  <c:v>铜</c:v>
                </c:pt>
                <c:pt idx="4">
                  <c:v>铅</c:v>
                </c:pt>
                <c:pt idx="5">
                  <c:v>镍</c:v>
                </c:pt>
                <c:pt idx="6">
                  <c:v>六价铬</c:v>
                </c:pt>
                <c:pt idx="7">
                  <c:v>PH</c:v>
                </c:pt>
              </c:strCache>
            </c:strRef>
          </c:cat>
          <c:val>
            <c:numRef>
              <c:f>Sheet1!$I$10:$I$17</c:f>
              <c:numCache>
                <c:formatCode>General</c:formatCode>
                <c:ptCount val="8"/>
                <c:pt idx="0">
                  <c:v>0.138</c:v>
                </c:pt>
                <c:pt idx="1">
                  <c:v>0.119</c:v>
                </c:pt>
                <c:pt idx="2">
                  <c:v>9.13</c:v>
                </c:pt>
                <c:pt idx="3">
                  <c:v>21</c:v>
                </c:pt>
                <c:pt idx="4">
                  <c:v>47</c:v>
                </c:pt>
                <c:pt idx="5">
                  <c:v>44</c:v>
                </c:pt>
                <c:pt idx="6">
                  <c:v>1.5</c:v>
                </c:pt>
                <c:pt idx="7">
                  <c:v>8.72</c:v>
                </c:pt>
              </c:numCache>
            </c:numRef>
          </c:val>
        </c:ser>
        <c:ser>
          <c:idx val="1"/>
          <c:order val="1"/>
          <c:tx>
            <c:strRef>
              <c:f>Sheet1!$J$9</c:f>
              <c:strCache>
                <c:ptCount val="1"/>
                <c:pt idx="0">
                  <c:v>1.0~2.0m</c:v>
                </c:pt>
              </c:strCache>
            </c:strRef>
          </c:tx>
          <c:spPr>
            <a:solidFill>
              <a:schemeClr val="accent4"/>
            </a:solidFill>
            <a:ln>
              <a:noFill/>
            </a:ln>
            <a:effectLst/>
          </c:spPr>
          <c:invertIfNegative val="0"/>
          <c:dLbls>
            <c:delete val="1"/>
          </c:dLbls>
          <c:cat>
            <c:strRef>
              <c:f>Sheet1!$H$10:$H$17</c:f>
              <c:strCache>
                <c:ptCount val="8"/>
                <c:pt idx="0">
                  <c:v>镉</c:v>
                </c:pt>
                <c:pt idx="1">
                  <c:v>汞</c:v>
                </c:pt>
                <c:pt idx="2">
                  <c:v>砷</c:v>
                </c:pt>
                <c:pt idx="3">
                  <c:v>铜</c:v>
                </c:pt>
                <c:pt idx="4">
                  <c:v>铅</c:v>
                </c:pt>
                <c:pt idx="5">
                  <c:v>镍</c:v>
                </c:pt>
                <c:pt idx="6">
                  <c:v>六价铬</c:v>
                </c:pt>
                <c:pt idx="7">
                  <c:v>PH</c:v>
                </c:pt>
              </c:strCache>
            </c:strRef>
          </c:cat>
          <c:val>
            <c:numRef>
              <c:f>Sheet1!$J$10:$J$17</c:f>
              <c:numCache>
                <c:formatCode>General</c:formatCode>
                <c:ptCount val="8"/>
                <c:pt idx="0">
                  <c:v>0.183</c:v>
                </c:pt>
                <c:pt idx="1">
                  <c:v>0.051</c:v>
                </c:pt>
                <c:pt idx="2">
                  <c:v>10.6</c:v>
                </c:pt>
                <c:pt idx="3">
                  <c:v>24</c:v>
                </c:pt>
                <c:pt idx="4">
                  <c:v>40</c:v>
                </c:pt>
                <c:pt idx="5">
                  <c:v>47</c:v>
                </c:pt>
                <c:pt idx="6">
                  <c:v>1.5</c:v>
                </c:pt>
                <c:pt idx="7">
                  <c:v>8.34</c:v>
                </c:pt>
              </c:numCache>
            </c:numRef>
          </c:val>
        </c:ser>
        <c:ser>
          <c:idx val="2"/>
          <c:order val="2"/>
          <c:tx>
            <c:strRef>
              <c:f>Sheet1!$K$9</c:f>
              <c:strCache>
                <c:ptCount val="1"/>
                <c:pt idx="0">
                  <c:v>2.0~3.0m</c:v>
                </c:pt>
              </c:strCache>
            </c:strRef>
          </c:tx>
          <c:spPr>
            <a:solidFill>
              <a:schemeClr val="accent6"/>
            </a:solidFill>
            <a:ln>
              <a:noFill/>
            </a:ln>
            <a:effectLst/>
          </c:spPr>
          <c:invertIfNegative val="0"/>
          <c:dLbls>
            <c:delete val="1"/>
          </c:dLbls>
          <c:cat>
            <c:strRef>
              <c:f>Sheet1!$H$10:$H$17</c:f>
              <c:strCache>
                <c:ptCount val="8"/>
                <c:pt idx="0">
                  <c:v>镉</c:v>
                </c:pt>
                <c:pt idx="1">
                  <c:v>汞</c:v>
                </c:pt>
                <c:pt idx="2">
                  <c:v>砷</c:v>
                </c:pt>
                <c:pt idx="3">
                  <c:v>铜</c:v>
                </c:pt>
                <c:pt idx="4">
                  <c:v>铅</c:v>
                </c:pt>
                <c:pt idx="5">
                  <c:v>镍</c:v>
                </c:pt>
                <c:pt idx="6">
                  <c:v>六价铬</c:v>
                </c:pt>
                <c:pt idx="7">
                  <c:v>PH</c:v>
                </c:pt>
              </c:strCache>
            </c:strRef>
          </c:cat>
          <c:val>
            <c:numRef>
              <c:f>Sheet1!$K$10:$K$17</c:f>
              <c:numCache>
                <c:formatCode>General</c:formatCode>
                <c:ptCount val="8"/>
                <c:pt idx="0">
                  <c:v>0.175</c:v>
                </c:pt>
                <c:pt idx="1">
                  <c:v>0.309</c:v>
                </c:pt>
                <c:pt idx="2">
                  <c:v>7.59</c:v>
                </c:pt>
                <c:pt idx="3">
                  <c:v>20</c:v>
                </c:pt>
                <c:pt idx="4">
                  <c:v>39</c:v>
                </c:pt>
                <c:pt idx="5">
                  <c:v>45</c:v>
                </c:pt>
                <c:pt idx="6">
                  <c:v>1.5</c:v>
                </c:pt>
                <c:pt idx="7">
                  <c:v>8.41</c:v>
                </c:pt>
              </c:numCache>
            </c:numRef>
          </c:val>
        </c:ser>
        <c:dLbls>
          <c:showLegendKey val="0"/>
          <c:showVal val="0"/>
          <c:showCatName val="0"/>
          <c:showSerName val="0"/>
          <c:showPercent val="0"/>
          <c:showBubbleSize val="0"/>
        </c:dLbls>
        <c:gapWidth val="500"/>
        <c:overlap val="-40"/>
        <c:axId val="620146641"/>
        <c:axId val="144791355"/>
      </c:barChart>
      <c:catAx>
        <c:axId val="620146641"/>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144791355"/>
        <c:crosses val="autoZero"/>
        <c:auto val="1"/>
        <c:lblAlgn val="ctr"/>
        <c:lblOffset val="100"/>
        <c:noMultiLvlLbl val="0"/>
      </c:catAx>
      <c:valAx>
        <c:axId val="144791355"/>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62014664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5#</a:t>
            </a:r>
            <a:endParaRPr lang="en-US" altLang="zh-CN"/>
          </a:p>
        </c:rich>
      </c:tx>
      <c:layout>
        <c:manualLayout>
          <c:xMode val="edge"/>
          <c:yMode val="edge"/>
          <c:x val="0.420875"/>
          <c:y val="0.0171666666666667"/>
        </c:manualLayout>
      </c:layout>
      <c:overlay val="0"/>
      <c:spPr>
        <a:noFill/>
        <a:ln>
          <a:noFill/>
        </a:ln>
        <a:effectLst/>
      </c:spPr>
    </c:title>
    <c:autoTitleDeleted val="0"/>
    <c:plotArea>
      <c:layout/>
      <c:barChart>
        <c:barDir val="col"/>
        <c:grouping val="clustered"/>
        <c:varyColors val="0"/>
        <c:ser>
          <c:idx val="0"/>
          <c:order val="0"/>
          <c:tx>
            <c:strRef>
              <c:f>Sheet1!$J$6</c:f>
              <c:strCache>
                <c:ptCount val="1"/>
                <c:pt idx="0">
                  <c:v>0~0.5m</c:v>
                </c:pt>
              </c:strCache>
            </c:strRef>
          </c:tx>
          <c:spPr>
            <a:solidFill>
              <a:schemeClr val="accent2"/>
            </a:solidFill>
            <a:ln>
              <a:noFill/>
            </a:ln>
            <a:effectLst>
              <a:outerShdw blurRad="76200" dir="18900000" sy="23000" kx="-1200000" algn="bl" rotWithShape="0">
                <a:prstClr val="black">
                  <a:alpha val="10000"/>
                </a:prstClr>
              </a:outerShdw>
            </a:effectLst>
          </c:spPr>
          <c:invertIfNegative val="0"/>
          <c:dLbls>
            <c:delete val="1"/>
          </c:dLbls>
          <c:cat>
            <c:strRef>
              <c:f>Sheet1!$I$7:$I$14</c:f>
              <c:strCache>
                <c:ptCount val="8"/>
                <c:pt idx="0">
                  <c:v>镉</c:v>
                </c:pt>
                <c:pt idx="1">
                  <c:v>汞</c:v>
                </c:pt>
                <c:pt idx="2">
                  <c:v>砷</c:v>
                </c:pt>
                <c:pt idx="3">
                  <c:v>铜</c:v>
                </c:pt>
                <c:pt idx="4">
                  <c:v>铅</c:v>
                </c:pt>
                <c:pt idx="5">
                  <c:v>镍</c:v>
                </c:pt>
                <c:pt idx="6">
                  <c:v>六价铬</c:v>
                </c:pt>
                <c:pt idx="7">
                  <c:v>PH</c:v>
                </c:pt>
              </c:strCache>
            </c:strRef>
          </c:cat>
          <c:val>
            <c:numRef>
              <c:f>Sheet1!$J$7:$J$14</c:f>
              <c:numCache>
                <c:formatCode>General</c:formatCode>
                <c:ptCount val="8"/>
                <c:pt idx="0">
                  <c:v>0.145</c:v>
                </c:pt>
                <c:pt idx="1">
                  <c:v>0.085</c:v>
                </c:pt>
                <c:pt idx="2">
                  <c:v>8.95</c:v>
                </c:pt>
                <c:pt idx="3">
                  <c:v>21</c:v>
                </c:pt>
                <c:pt idx="4">
                  <c:v>39</c:v>
                </c:pt>
                <c:pt idx="5">
                  <c:v>43</c:v>
                </c:pt>
                <c:pt idx="6">
                  <c:v>1.5</c:v>
                </c:pt>
                <c:pt idx="7">
                  <c:v>8.23</c:v>
                </c:pt>
              </c:numCache>
            </c:numRef>
          </c:val>
        </c:ser>
        <c:ser>
          <c:idx val="1"/>
          <c:order val="1"/>
          <c:tx>
            <c:strRef>
              <c:f>Sheet1!$K$6</c:f>
              <c:strCache>
                <c:ptCount val="1"/>
                <c:pt idx="0">
                  <c:v>1.0~2.0m</c:v>
                </c:pt>
              </c:strCache>
            </c:strRef>
          </c:tx>
          <c:spPr>
            <a:solidFill>
              <a:schemeClr val="accent4"/>
            </a:solidFill>
            <a:ln>
              <a:noFill/>
            </a:ln>
            <a:effectLst>
              <a:outerShdw blurRad="76200" dir="18900000" sy="23000" kx="-1200000" algn="bl" rotWithShape="0">
                <a:prstClr val="black">
                  <a:alpha val="10000"/>
                </a:prstClr>
              </a:outerShdw>
            </a:effectLst>
          </c:spPr>
          <c:invertIfNegative val="0"/>
          <c:dLbls>
            <c:delete val="1"/>
          </c:dLbls>
          <c:cat>
            <c:strRef>
              <c:f>Sheet1!$I$7:$I$14</c:f>
              <c:strCache>
                <c:ptCount val="8"/>
                <c:pt idx="0">
                  <c:v>镉</c:v>
                </c:pt>
                <c:pt idx="1">
                  <c:v>汞</c:v>
                </c:pt>
                <c:pt idx="2">
                  <c:v>砷</c:v>
                </c:pt>
                <c:pt idx="3">
                  <c:v>铜</c:v>
                </c:pt>
                <c:pt idx="4">
                  <c:v>铅</c:v>
                </c:pt>
                <c:pt idx="5">
                  <c:v>镍</c:v>
                </c:pt>
                <c:pt idx="6">
                  <c:v>六价铬</c:v>
                </c:pt>
                <c:pt idx="7">
                  <c:v>PH</c:v>
                </c:pt>
              </c:strCache>
            </c:strRef>
          </c:cat>
          <c:val>
            <c:numRef>
              <c:f>Sheet1!$K$7:$K$14</c:f>
              <c:numCache>
                <c:formatCode>General</c:formatCode>
                <c:ptCount val="8"/>
                <c:pt idx="0">
                  <c:v>0.183</c:v>
                </c:pt>
                <c:pt idx="1">
                  <c:v>0.082</c:v>
                </c:pt>
                <c:pt idx="2">
                  <c:v>10.2</c:v>
                </c:pt>
                <c:pt idx="3">
                  <c:v>23</c:v>
                </c:pt>
                <c:pt idx="4">
                  <c:v>39</c:v>
                </c:pt>
                <c:pt idx="5">
                  <c:v>45</c:v>
                </c:pt>
                <c:pt idx="6">
                  <c:v>1.9</c:v>
                </c:pt>
                <c:pt idx="7">
                  <c:v>8.14</c:v>
                </c:pt>
              </c:numCache>
            </c:numRef>
          </c:val>
        </c:ser>
        <c:ser>
          <c:idx val="2"/>
          <c:order val="2"/>
          <c:tx>
            <c:strRef>
              <c:f>Sheet1!$L$6</c:f>
              <c:strCache>
                <c:ptCount val="1"/>
                <c:pt idx="0">
                  <c:v>2.0~3.0m</c:v>
                </c:pt>
              </c:strCache>
            </c:strRef>
          </c:tx>
          <c:spPr>
            <a:solidFill>
              <a:schemeClr val="accent6"/>
            </a:solidFill>
            <a:ln>
              <a:noFill/>
            </a:ln>
            <a:effectLst>
              <a:outerShdw blurRad="76200" dir="18900000" sy="23000" kx="-1200000" algn="bl" rotWithShape="0">
                <a:prstClr val="black">
                  <a:alpha val="10000"/>
                </a:prstClr>
              </a:outerShdw>
            </a:effectLst>
          </c:spPr>
          <c:invertIfNegative val="0"/>
          <c:dLbls>
            <c:delete val="1"/>
          </c:dLbls>
          <c:cat>
            <c:strRef>
              <c:f>Sheet1!$I$7:$I$14</c:f>
              <c:strCache>
                <c:ptCount val="8"/>
                <c:pt idx="0">
                  <c:v>镉</c:v>
                </c:pt>
                <c:pt idx="1">
                  <c:v>汞</c:v>
                </c:pt>
                <c:pt idx="2">
                  <c:v>砷</c:v>
                </c:pt>
                <c:pt idx="3">
                  <c:v>铜</c:v>
                </c:pt>
                <c:pt idx="4">
                  <c:v>铅</c:v>
                </c:pt>
                <c:pt idx="5">
                  <c:v>镍</c:v>
                </c:pt>
                <c:pt idx="6">
                  <c:v>六价铬</c:v>
                </c:pt>
                <c:pt idx="7">
                  <c:v>PH</c:v>
                </c:pt>
              </c:strCache>
            </c:strRef>
          </c:cat>
          <c:val>
            <c:numRef>
              <c:f>Sheet1!$L$7:$L$14</c:f>
              <c:numCache>
                <c:formatCode>General</c:formatCode>
                <c:ptCount val="8"/>
                <c:pt idx="0">
                  <c:v>0.114</c:v>
                </c:pt>
                <c:pt idx="1">
                  <c:v>0.054</c:v>
                </c:pt>
                <c:pt idx="2">
                  <c:v>7.89</c:v>
                </c:pt>
                <c:pt idx="3">
                  <c:v>20</c:v>
                </c:pt>
                <c:pt idx="4">
                  <c:v>39</c:v>
                </c:pt>
                <c:pt idx="5">
                  <c:v>43</c:v>
                </c:pt>
                <c:pt idx="6">
                  <c:v>1.9</c:v>
                </c:pt>
                <c:pt idx="7">
                  <c:v>8.05</c:v>
                </c:pt>
              </c:numCache>
            </c:numRef>
          </c:val>
        </c:ser>
        <c:dLbls>
          <c:showLegendKey val="0"/>
          <c:showVal val="0"/>
          <c:showCatName val="0"/>
          <c:showSerName val="0"/>
          <c:showPercent val="0"/>
          <c:showBubbleSize val="0"/>
        </c:dLbls>
        <c:gapWidth val="500"/>
        <c:overlap val="-40"/>
        <c:axId val="564127823"/>
        <c:axId val="260226518"/>
      </c:barChart>
      <c:catAx>
        <c:axId val="564127823"/>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260226518"/>
        <c:crosses val="autoZero"/>
        <c:auto val="1"/>
        <c:lblAlgn val="ctr"/>
        <c:lblOffset val="100"/>
        <c:noMultiLvlLbl val="0"/>
      </c:catAx>
      <c:valAx>
        <c:axId val="260226518"/>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56412782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6#</a:t>
            </a:r>
            <a:endParaRPr lang="en-US" altLang="zh-CN"/>
          </a:p>
        </c:rich>
      </c:tx>
      <c:layout>
        <c:manualLayout>
          <c:xMode val="edge"/>
          <c:yMode val="edge"/>
          <c:x val="0.42525"/>
          <c:y val="0.02"/>
        </c:manualLayout>
      </c:layout>
      <c:overlay val="0"/>
      <c:spPr>
        <a:noFill/>
        <a:ln>
          <a:noFill/>
        </a:ln>
        <a:effectLst/>
      </c:spPr>
    </c:title>
    <c:autoTitleDeleted val="0"/>
    <c:plotArea>
      <c:layout/>
      <c:barChart>
        <c:barDir val="col"/>
        <c:grouping val="clustered"/>
        <c:varyColors val="0"/>
        <c:ser>
          <c:idx val="0"/>
          <c:order val="0"/>
          <c:tx>
            <c:strRef>
              <c:f>Sheet1!$J$8</c:f>
              <c:strCache>
                <c:ptCount val="1"/>
                <c:pt idx="0">
                  <c:v>0~0.5m</c:v>
                </c:pt>
              </c:strCache>
            </c:strRef>
          </c:tx>
          <c:spPr>
            <a:solidFill>
              <a:schemeClr val="accent2"/>
            </a:solidFill>
            <a:ln>
              <a:noFill/>
            </a:ln>
            <a:effectLst>
              <a:outerShdw blurRad="76200" dir="18900000" sy="23000" kx="-1200000" algn="bl" rotWithShape="0">
                <a:prstClr val="black">
                  <a:alpha val="10000"/>
                </a:prstClr>
              </a:outerShdw>
            </a:effectLst>
          </c:spPr>
          <c:invertIfNegative val="0"/>
          <c:dLbls>
            <c:delete val="1"/>
          </c:dLbls>
          <c:cat>
            <c:strRef>
              <c:f>Sheet1!$I$9:$I$16</c:f>
              <c:strCache>
                <c:ptCount val="8"/>
                <c:pt idx="0">
                  <c:v>镉</c:v>
                </c:pt>
                <c:pt idx="1">
                  <c:v>汞</c:v>
                </c:pt>
                <c:pt idx="2">
                  <c:v>砷</c:v>
                </c:pt>
                <c:pt idx="3">
                  <c:v>铜</c:v>
                </c:pt>
                <c:pt idx="4">
                  <c:v>铅</c:v>
                </c:pt>
                <c:pt idx="5">
                  <c:v>镍</c:v>
                </c:pt>
                <c:pt idx="6">
                  <c:v>六价铬</c:v>
                </c:pt>
                <c:pt idx="7">
                  <c:v>PH</c:v>
                </c:pt>
              </c:strCache>
            </c:strRef>
          </c:cat>
          <c:val>
            <c:numRef>
              <c:f>Sheet1!$J$9:$J$16</c:f>
              <c:numCache>
                <c:formatCode>General</c:formatCode>
                <c:ptCount val="8"/>
                <c:pt idx="0">
                  <c:v>0.174</c:v>
                </c:pt>
                <c:pt idx="1">
                  <c:v>0.104</c:v>
                </c:pt>
                <c:pt idx="2">
                  <c:v>8.33</c:v>
                </c:pt>
                <c:pt idx="3">
                  <c:v>22</c:v>
                </c:pt>
                <c:pt idx="4">
                  <c:v>39</c:v>
                </c:pt>
                <c:pt idx="5">
                  <c:v>41</c:v>
                </c:pt>
                <c:pt idx="6">
                  <c:v>0.8</c:v>
                </c:pt>
                <c:pt idx="7">
                  <c:v>8.59</c:v>
                </c:pt>
              </c:numCache>
            </c:numRef>
          </c:val>
        </c:ser>
        <c:ser>
          <c:idx val="1"/>
          <c:order val="1"/>
          <c:tx>
            <c:strRef>
              <c:f>Sheet1!$K$8</c:f>
              <c:strCache>
                <c:ptCount val="1"/>
                <c:pt idx="0">
                  <c:v>1.0~2.0m</c:v>
                </c:pt>
              </c:strCache>
            </c:strRef>
          </c:tx>
          <c:spPr>
            <a:solidFill>
              <a:schemeClr val="accent4"/>
            </a:solidFill>
            <a:ln>
              <a:noFill/>
            </a:ln>
            <a:effectLst>
              <a:outerShdw blurRad="76200" dir="18900000" sy="23000" kx="-1200000" algn="bl" rotWithShape="0">
                <a:prstClr val="black">
                  <a:alpha val="10000"/>
                </a:prstClr>
              </a:outerShdw>
            </a:effectLst>
          </c:spPr>
          <c:invertIfNegative val="0"/>
          <c:dLbls>
            <c:delete val="1"/>
          </c:dLbls>
          <c:cat>
            <c:strRef>
              <c:f>Sheet1!$I$9:$I$16</c:f>
              <c:strCache>
                <c:ptCount val="8"/>
                <c:pt idx="0">
                  <c:v>镉</c:v>
                </c:pt>
                <c:pt idx="1">
                  <c:v>汞</c:v>
                </c:pt>
                <c:pt idx="2">
                  <c:v>砷</c:v>
                </c:pt>
                <c:pt idx="3">
                  <c:v>铜</c:v>
                </c:pt>
                <c:pt idx="4">
                  <c:v>铅</c:v>
                </c:pt>
                <c:pt idx="5">
                  <c:v>镍</c:v>
                </c:pt>
                <c:pt idx="6">
                  <c:v>六价铬</c:v>
                </c:pt>
                <c:pt idx="7">
                  <c:v>PH</c:v>
                </c:pt>
              </c:strCache>
            </c:strRef>
          </c:cat>
          <c:val>
            <c:numRef>
              <c:f>Sheet1!$K$9:$K$16</c:f>
              <c:numCache>
                <c:formatCode>General</c:formatCode>
                <c:ptCount val="8"/>
                <c:pt idx="0">
                  <c:v>0.176</c:v>
                </c:pt>
                <c:pt idx="1">
                  <c:v>0.12</c:v>
                </c:pt>
                <c:pt idx="2">
                  <c:v>10.2</c:v>
                </c:pt>
                <c:pt idx="3">
                  <c:v>23</c:v>
                </c:pt>
                <c:pt idx="4">
                  <c:v>47</c:v>
                </c:pt>
                <c:pt idx="5">
                  <c:v>45</c:v>
                </c:pt>
                <c:pt idx="6">
                  <c:v>1.9</c:v>
                </c:pt>
                <c:pt idx="7">
                  <c:v>8.46</c:v>
                </c:pt>
              </c:numCache>
            </c:numRef>
          </c:val>
        </c:ser>
        <c:ser>
          <c:idx val="2"/>
          <c:order val="2"/>
          <c:tx>
            <c:strRef>
              <c:f>Sheet1!$L$8</c:f>
              <c:strCache>
                <c:ptCount val="1"/>
                <c:pt idx="0">
                  <c:v>2.0~3.0m</c:v>
                </c:pt>
              </c:strCache>
            </c:strRef>
          </c:tx>
          <c:spPr>
            <a:solidFill>
              <a:schemeClr val="accent6"/>
            </a:solidFill>
            <a:ln>
              <a:noFill/>
            </a:ln>
            <a:effectLst>
              <a:outerShdw blurRad="76200" dir="18900000" sy="23000" kx="-1200000" algn="bl" rotWithShape="0">
                <a:prstClr val="black">
                  <a:alpha val="10000"/>
                </a:prstClr>
              </a:outerShdw>
            </a:effectLst>
          </c:spPr>
          <c:invertIfNegative val="0"/>
          <c:dLbls>
            <c:delete val="1"/>
          </c:dLbls>
          <c:cat>
            <c:strRef>
              <c:f>Sheet1!$I$9:$I$16</c:f>
              <c:strCache>
                <c:ptCount val="8"/>
                <c:pt idx="0">
                  <c:v>镉</c:v>
                </c:pt>
                <c:pt idx="1">
                  <c:v>汞</c:v>
                </c:pt>
                <c:pt idx="2">
                  <c:v>砷</c:v>
                </c:pt>
                <c:pt idx="3">
                  <c:v>铜</c:v>
                </c:pt>
                <c:pt idx="4">
                  <c:v>铅</c:v>
                </c:pt>
                <c:pt idx="5">
                  <c:v>镍</c:v>
                </c:pt>
                <c:pt idx="6">
                  <c:v>六价铬</c:v>
                </c:pt>
                <c:pt idx="7">
                  <c:v>PH</c:v>
                </c:pt>
              </c:strCache>
            </c:strRef>
          </c:cat>
          <c:val>
            <c:numRef>
              <c:f>Sheet1!$L$9:$L$16</c:f>
              <c:numCache>
                <c:formatCode>General</c:formatCode>
                <c:ptCount val="8"/>
                <c:pt idx="0">
                  <c:v>0.133</c:v>
                </c:pt>
                <c:pt idx="1">
                  <c:v>0.076</c:v>
                </c:pt>
                <c:pt idx="2">
                  <c:v>5.56</c:v>
                </c:pt>
                <c:pt idx="3">
                  <c:v>18</c:v>
                </c:pt>
                <c:pt idx="4">
                  <c:v>39</c:v>
                </c:pt>
                <c:pt idx="5">
                  <c:v>37</c:v>
                </c:pt>
                <c:pt idx="6">
                  <c:v>1.9</c:v>
                </c:pt>
                <c:pt idx="7">
                  <c:v>8.53</c:v>
                </c:pt>
              </c:numCache>
            </c:numRef>
          </c:val>
        </c:ser>
        <c:dLbls>
          <c:showLegendKey val="0"/>
          <c:showVal val="0"/>
          <c:showCatName val="0"/>
          <c:showSerName val="0"/>
          <c:showPercent val="0"/>
          <c:showBubbleSize val="0"/>
        </c:dLbls>
        <c:gapWidth val="500"/>
        <c:overlap val="-40"/>
        <c:axId val="201786734"/>
        <c:axId val="413047425"/>
      </c:barChart>
      <c:catAx>
        <c:axId val="201786734"/>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413047425"/>
        <c:crosses val="autoZero"/>
        <c:auto val="1"/>
        <c:lblAlgn val="ctr"/>
        <c:lblOffset val="100"/>
        <c:noMultiLvlLbl val="0"/>
      </c:catAx>
      <c:valAx>
        <c:axId val="413047425"/>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20178673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forceAA="0"/>
          <a:lstStyle/>
          <a:p>
            <a:pPr defTabSz="914400">
              <a:defRPr lang="zh-CN" sz="1400" b="0" i="0" u="none" strike="noStrike" kern="1200" spc="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en-US" altLang="zh-CN"/>
              <a:t>7#</a:t>
            </a:r>
            <a:endParaRPr lang="en-US" altLang="zh-CN"/>
          </a:p>
        </c:rich>
      </c:tx>
      <c:layout/>
      <c:overlay val="0"/>
      <c:spPr>
        <a:noFill/>
        <a:ln>
          <a:noFill/>
        </a:ln>
        <a:effectLst/>
      </c:spPr>
    </c:title>
    <c:autoTitleDeleted val="0"/>
    <c:plotArea>
      <c:layout/>
      <c:barChart>
        <c:barDir val="col"/>
        <c:grouping val="clustered"/>
        <c:varyColors val="0"/>
        <c:ser>
          <c:idx val="0"/>
          <c:order val="0"/>
          <c:tx>
            <c:strRef>
              <c:f>Sheet1!$I$10</c:f>
              <c:strCache>
                <c:ptCount val="1"/>
                <c:pt idx="0">
                  <c:v>0~0.5m</c:v>
                </c:pt>
              </c:strCache>
            </c:strRef>
          </c:tx>
          <c:spPr>
            <a:solidFill>
              <a:schemeClr val="accent2"/>
            </a:solidFill>
            <a:ln>
              <a:noFill/>
            </a:ln>
            <a:effectLst>
              <a:outerShdw blurRad="76200" dir="18900000" sy="23000" kx="-1200000" algn="bl" rotWithShape="0">
                <a:prstClr val="black">
                  <a:alpha val="10000"/>
                </a:prstClr>
              </a:outerShdw>
            </a:effectLst>
          </c:spPr>
          <c:invertIfNegative val="0"/>
          <c:dLbls>
            <c:delete val="1"/>
          </c:dLbls>
          <c:cat>
            <c:strRef>
              <c:f>Sheet1!$H$11:$H$24</c:f>
              <c:strCache>
                <c:ptCount val="14"/>
                <c:pt idx="0">
                  <c:v>镉</c:v>
                </c:pt>
                <c:pt idx="1">
                  <c:v>汞</c:v>
                </c:pt>
                <c:pt idx="2">
                  <c:v>砷</c:v>
                </c:pt>
                <c:pt idx="3">
                  <c:v>铜</c:v>
                </c:pt>
                <c:pt idx="4">
                  <c:v>铅</c:v>
                </c:pt>
                <c:pt idx="5">
                  <c:v>镍</c:v>
                </c:pt>
                <c:pt idx="6">
                  <c:v>六价铬</c:v>
                </c:pt>
                <c:pt idx="7">
                  <c:v>PH</c:v>
                </c:pt>
                <c:pt idx="8">
                  <c:v>氯甲烷</c:v>
                </c:pt>
                <c:pt idx="9">
                  <c:v>1,1-二氯乙烷</c:v>
                </c:pt>
                <c:pt idx="10">
                  <c:v>1,1,2,2-四氯乙烷</c:v>
                </c:pt>
                <c:pt idx="11">
                  <c:v>四氯乙烯</c:v>
                </c:pt>
                <c:pt idx="12">
                  <c:v>乙苯</c:v>
                </c:pt>
                <c:pt idx="13">
                  <c:v>间+对二甲苯</c:v>
                </c:pt>
              </c:strCache>
            </c:strRef>
          </c:cat>
          <c:val>
            <c:numRef>
              <c:f>Sheet1!$I$11:$I$24</c:f>
              <c:numCache>
                <c:formatCode>General</c:formatCode>
                <c:ptCount val="14"/>
                <c:pt idx="0">
                  <c:v>0.373</c:v>
                </c:pt>
                <c:pt idx="1">
                  <c:v>0.057</c:v>
                </c:pt>
                <c:pt idx="2">
                  <c:v>8.94</c:v>
                </c:pt>
                <c:pt idx="3">
                  <c:v>21</c:v>
                </c:pt>
                <c:pt idx="4">
                  <c:v>54</c:v>
                </c:pt>
                <c:pt idx="5">
                  <c:v>43</c:v>
                </c:pt>
                <c:pt idx="6">
                  <c:v>2.3</c:v>
                </c:pt>
                <c:pt idx="7">
                  <c:v>8.81</c:v>
                </c:pt>
                <c:pt idx="8">
                  <c:v>0</c:v>
                </c:pt>
                <c:pt idx="9">
                  <c:v>0</c:v>
                </c:pt>
                <c:pt idx="10">
                  <c:v>0</c:v>
                </c:pt>
                <c:pt idx="11">
                  <c:v>0</c:v>
                </c:pt>
                <c:pt idx="12">
                  <c:v>0</c:v>
                </c:pt>
                <c:pt idx="13">
                  <c:v>0</c:v>
                </c:pt>
              </c:numCache>
            </c:numRef>
          </c:val>
        </c:ser>
        <c:ser>
          <c:idx val="1"/>
          <c:order val="1"/>
          <c:tx>
            <c:strRef>
              <c:f>Sheet1!$J$10</c:f>
              <c:strCache>
                <c:ptCount val="1"/>
                <c:pt idx="0">
                  <c:v>1.0~2.0m</c:v>
                </c:pt>
              </c:strCache>
            </c:strRef>
          </c:tx>
          <c:spPr>
            <a:solidFill>
              <a:schemeClr val="accent4"/>
            </a:solidFill>
            <a:ln>
              <a:noFill/>
            </a:ln>
            <a:effectLst>
              <a:outerShdw blurRad="76200" dir="18900000" sy="23000" kx="-1200000" algn="bl" rotWithShape="0">
                <a:prstClr val="black">
                  <a:alpha val="10000"/>
                </a:prstClr>
              </a:outerShdw>
            </a:effectLst>
          </c:spPr>
          <c:invertIfNegative val="0"/>
          <c:dLbls>
            <c:delete val="1"/>
          </c:dLbls>
          <c:cat>
            <c:strRef>
              <c:f>Sheet1!$H$11:$H$24</c:f>
              <c:strCache>
                <c:ptCount val="14"/>
                <c:pt idx="0">
                  <c:v>镉</c:v>
                </c:pt>
                <c:pt idx="1">
                  <c:v>汞</c:v>
                </c:pt>
                <c:pt idx="2">
                  <c:v>砷</c:v>
                </c:pt>
                <c:pt idx="3">
                  <c:v>铜</c:v>
                </c:pt>
                <c:pt idx="4">
                  <c:v>铅</c:v>
                </c:pt>
                <c:pt idx="5">
                  <c:v>镍</c:v>
                </c:pt>
                <c:pt idx="6">
                  <c:v>六价铬</c:v>
                </c:pt>
                <c:pt idx="7">
                  <c:v>PH</c:v>
                </c:pt>
                <c:pt idx="8">
                  <c:v>氯甲烷</c:v>
                </c:pt>
                <c:pt idx="9">
                  <c:v>1,1-二氯乙烷</c:v>
                </c:pt>
                <c:pt idx="10">
                  <c:v>1,1,2,2-四氯乙烷</c:v>
                </c:pt>
                <c:pt idx="11">
                  <c:v>四氯乙烯</c:v>
                </c:pt>
                <c:pt idx="12">
                  <c:v>乙苯</c:v>
                </c:pt>
                <c:pt idx="13">
                  <c:v>间+对二甲苯</c:v>
                </c:pt>
              </c:strCache>
            </c:strRef>
          </c:cat>
          <c:val>
            <c:numRef>
              <c:f>Sheet1!$J$11:$J$24</c:f>
              <c:numCache>
                <c:formatCode>General</c:formatCode>
                <c:ptCount val="14"/>
                <c:pt idx="0">
                  <c:v>0.15</c:v>
                </c:pt>
                <c:pt idx="1">
                  <c:v>0.043</c:v>
                </c:pt>
                <c:pt idx="2">
                  <c:v>9.44</c:v>
                </c:pt>
                <c:pt idx="3">
                  <c:v>23</c:v>
                </c:pt>
                <c:pt idx="4">
                  <c:v>47</c:v>
                </c:pt>
                <c:pt idx="5">
                  <c:v>45</c:v>
                </c:pt>
                <c:pt idx="6">
                  <c:v>0.8</c:v>
                </c:pt>
                <c:pt idx="7">
                  <c:v>8.41</c:v>
                </c:pt>
                <c:pt idx="8">
                  <c:v>0</c:v>
                </c:pt>
                <c:pt idx="9">
                  <c:v>0</c:v>
                </c:pt>
                <c:pt idx="10">
                  <c:v>0</c:v>
                </c:pt>
                <c:pt idx="11">
                  <c:v>0</c:v>
                </c:pt>
                <c:pt idx="12">
                  <c:v>0</c:v>
                </c:pt>
                <c:pt idx="13">
                  <c:v>0</c:v>
                </c:pt>
              </c:numCache>
            </c:numRef>
          </c:val>
        </c:ser>
        <c:ser>
          <c:idx val="2"/>
          <c:order val="2"/>
          <c:tx>
            <c:strRef>
              <c:f>Sheet1!$K$10</c:f>
              <c:strCache>
                <c:ptCount val="1"/>
                <c:pt idx="0">
                  <c:v>2.0~3.0m</c:v>
                </c:pt>
              </c:strCache>
            </c:strRef>
          </c:tx>
          <c:spPr>
            <a:solidFill>
              <a:schemeClr val="accent6"/>
            </a:solidFill>
            <a:ln>
              <a:noFill/>
            </a:ln>
            <a:effectLst>
              <a:outerShdw blurRad="76200" dir="18900000" sy="23000" kx="-1200000" algn="bl" rotWithShape="0">
                <a:prstClr val="black">
                  <a:alpha val="10000"/>
                </a:prstClr>
              </a:outerShdw>
            </a:effectLst>
          </c:spPr>
          <c:invertIfNegative val="0"/>
          <c:dLbls>
            <c:delete val="1"/>
          </c:dLbls>
          <c:cat>
            <c:strRef>
              <c:f>Sheet1!$H$11:$H$24</c:f>
              <c:strCache>
                <c:ptCount val="14"/>
                <c:pt idx="0">
                  <c:v>镉</c:v>
                </c:pt>
                <c:pt idx="1">
                  <c:v>汞</c:v>
                </c:pt>
                <c:pt idx="2">
                  <c:v>砷</c:v>
                </c:pt>
                <c:pt idx="3">
                  <c:v>铜</c:v>
                </c:pt>
                <c:pt idx="4">
                  <c:v>铅</c:v>
                </c:pt>
                <c:pt idx="5">
                  <c:v>镍</c:v>
                </c:pt>
                <c:pt idx="6">
                  <c:v>六价铬</c:v>
                </c:pt>
                <c:pt idx="7">
                  <c:v>PH</c:v>
                </c:pt>
                <c:pt idx="8">
                  <c:v>氯甲烷</c:v>
                </c:pt>
                <c:pt idx="9">
                  <c:v>1,1-二氯乙烷</c:v>
                </c:pt>
                <c:pt idx="10">
                  <c:v>1,1,2,2-四氯乙烷</c:v>
                </c:pt>
                <c:pt idx="11">
                  <c:v>四氯乙烯</c:v>
                </c:pt>
                <c:pt idx="12">
                  <c:v>乙苯</c:v>
                </c:pt>
                <c:pt idx="13">
                  <c:v>间+对二甲苯</c:v>
                </c:pt>
              </c:strCache>
            </c:strRef>
          </c:cat>
          <c:val>
            <c:numRef>
              <c:f>Sheet1!$K$11:$K$24</c:f>
              <c:numCache>
                <c:formatCode>General</c:formatCode>
                <c:ptCount val="14"/>
                <c:pt idx="0">
                  <c:v>0.128</c:v>
                </c:pt>
                <c:pt idx="1">
                  <c:v>0.082</c:v>
                </c:pt>
                <c:pt idx="2">
                  <c:v>5</c:v>
                </c:pt>
                <c:pt idx="3">
                  <c:v>18</c:v>
                </c:pt>
                <c:pt idx="4">
                  <c:v>39</c:v>
                </c:pt>
                <c:pt idx="5">
                  <c:v>35</c:v>
                </c:pt>
                <c:pt idx="6">
                  <c:v>1.9</c:v>
                </c:pt>
                <c:pt idx="7">
                  <c:v>8.47</c:v>
                </c:pt>
                <c:pt idx="8">
                  <c:v>0.0212</c:v>
                </c:pt>
                <c:pt idx="9">
                  <c:v>0.0015</c:v>
                </c:pt>
                <c:pt idx="10">
                  <c:v>0.0034</c:v>
                </c:pt>
                <c:pt idx="11">
                  <c:v>0.0085</c:v>
                </c:pt>
                <c:pt idx="12">
                  <c:v>0.0015</c:v>
                </c:pt>
                <c:pt idx="13">
                  <c:v>0.0012</c:v>
                </c:pt>
              </c:numCache>
            </c:numRef>
          </c:val>
        </c:ser>
        <c:dLbls>
          <c:showLegendKey val="0"/>
          <c:showVal val="0"/>
          <c:showCatName val="0"/>
          <c:showSerName val="0"/>
          <c:showPercent val="0"/>
          <c:showBubbleSize val="0"/>
        </c:dLbls>
        <c:gapWidth val="500"/>
        <c:overlap val="-40"/>
        <c:axId val="285904657"/>
        <c:axId val="214309938"/>
      </c:barChart>
      <c:catAx>
        <c:axId val="285904657"/>
        <c:scaling>
          <c:orientation val="minMax"/>
        </c:scaling>
        <c:delete val="0"/>
        <c:axPos val="b"/>
        <c:minorGridlines>
          <c:spPr>
            <a:ln w="9525" cap="flat" cmpd="sng" algn="ctr">
              <a:solidFill>
                <a:schemeClr val="tx1">
                  <a:lumMod val="5000"/>
                  <a:lumOff val="95000"/>
                </a:schemeClr>
              </a:solidFill>
              <a:round/>
            </a:ln>
            <a:effectLst/>
          </c:spPr>
        </c:minorGridlines>
        <c:numFmt formatCode="General" sourceLinked="0"/>
        <c:majorTickMark val="none"/>
        <c:minorTickMark val="none"/>
        <c:tickLblPos val="nextTo"/>
        <c:spPr>
          <a:noFill/>
          <a:ln w="9525" cap="flat" cmpd="sng" algn="ctr">
            <a:noFill/>
            <a:round/>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214309938"/>
        <c:crosses val="autoZero"/>
        <c:auto val="1"/>
        <c:lblAlgn val="ctr"/>
        <c:lblOffset val="100"/>
        <c:noMultiLvlLbl val="0"/>
      </c:catAx>
      <c:valAx>
        <c:axId val="214309938"/>
        <c:scaling>
          <c:orientation val="minMax"/>
        </c:scaling>
        <c:delete val="0"/>
        <c:axPos val="l"/>
        <c:majorGridlines>
          <c:spPr>
            <a:ln w="3175" cap="flat" cmpd="sng" algn="ctr">
              <a:solidFill>
                <a:srgbClr val="EAEAEA"/>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crossAx val="28590465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rgbClr val="91908C"/>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legend>
    <c:plotVisOnly val="1"/>
    <c:dispBlanksAs val="gap"/>
    <c:showDLblsOverMax val="0"/>
  </c:chart>
  <c:spPr>
    <a:solidFill>
      <a:schemeClr val="bg1"/>
    </a:solidFill>
    <a:ln w="9525" cap="flat" cmpd="sng" algn="ctr">
      <a:solidFill>
        <a:srgbClr val="EAEAEA"/>
      </a:solidFill>
      <a:round/>
    </a:ln>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defTabSz="914400">
              <a:defRPr lang="zh-CN" sz="1400" b="0" i="0" u="none" strike="noStrike" kern="1200" spc="0" baseline="0">
                <a:solidFill>
                  <a:schemeClr val="tx1">
                    <a:lumMod val="65000"/>
                    <a:lumOff val="35000"/>
                  </a:schemeClr>
                </a:solidFill>
                <a:latin typeface="+mn-lt"/>
                <a:ea typeface="+mn-ea"/>
                <a:cs typeface="+mn-cs"/>
              </a:defRPr>
            </a:pPr>
            <a:r>
              <a:t> 地下水检测结果对比表</a:t>
            </a:r>
          </a:p>
        </c:rich>
      </c:tx>
      <c:layout/>
      <c:overlay val="0"/>
      <c:spPr>
        <a:noFill/>
        <a:ln>
          <a:noFill/>
        </a:ln>
        <a:effectLst/>
      </c:spPr>
    </c:title>
    <c:autoTitleDeleted val="0"/>
    <c:plotArea>
      <c:layout>
        <c:manualLayout>
          <c:layoutTarget val="inner"/>
          <c:xMode val="edge"/>
          <c:yMode val="edge"/>
          <c:x val="0.0791513437057992"/>
          <c:y val="0.0285831791075468"/>
          <c:w val="0.916605374823197"/>
          <c:h val="0.599712111865104"/>
        </c:manualLayout>
      </c:layout>
      <c:lineChart>
        <c:grouping val="standard"/>
        <c:varyColors val="0"/>
        <c:ser>
          <c:idx val="1"/>
          <c:order val="1"/>
          <c:tx>
            <c:strRef>
              <c:f>Sheet1!$H$1</c:f>
              <c:strCache>
                <c:ptCount val="1"/>
                <c:pt idx="0">
                  <c:v>经贸学院地下水检测值</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elete val="1"/>
          </c:dLbls>
          <c:cat>
            <c:strRef>
              <c:f>Sheet1!$G$2:$G$38</c:f>
              <c:strCache>
                <c:ptCount val="37"/>
                <c:pt idx="0">
                  <c:v>pH</c:v>
                </c:pt>
                <c:pt idx="1">
                  <c:v>色度</c:v>
                </c:pt>
                <c:pt idx="2">
                  <c:v>臭和味</c:v>
                </c:pt>
                <c:pt idx="3">
                  <c:v>肉眼可见物</c:v>
                </c:pt>
                <c:pt idx="4">
                  <c:v>浑浊度</c:v>
                </c:pt>
                <c:pt idx="5">
                  <c:v>总硬度（以CaCO3计/(mg/L)）</c:v>
                </c:pt>
                <c:pt idx="6">
                  <c:v>溶解性总固体/(mg/L)</c:v>
                </c:pt>
                <c:pt idx="7">
                  <c:v>硫酸盐/(mg/L)</c:v>
                </c:pt>
                <c:pt idx="8">
                  <c:v>氯化物/(mg/L)</c:v>
                </c:pt>
                <c:pt idx="9">
                  <c:v>铁/(mg/L)</c:v>
                </c:pt>
                <c:pt idx="10">
                  <c:v>锰/(mg/L)</c:v>
                </c:pt>
                <c:pt idx="11">
                  <c:v>铜/(mg/L)</c:v>
                </c:pt>
                <c:pt idx="12">
                  <c:v>锌/(mg/L)</c:v>
                </c:pt>
                <c:pt idx="13">
                  <c:v>铝/(mg/L)</c:v>
                </c:pt>
                <c:pt idx="14">
                  <c:v>挥发性酚类/(mg/L)</c:v>
                </c:pt>
                <c:pt idx="15">
                  <c:v>阴离子表面活性剂/(mg/L)</c:v>
                </c:pt>
                <c:pt idx="16">
                  <c:v>耗氧量/(mg/L)</c:v>
                </c:pt>
                <c:pt idx="17">
                  <c:v>氨氮/(mg/L)</c:v>
                </c:pt>
                <c:pt idx="18">
                  <c:v>硫化物/(mg/L)</c:v>
                </c:pt>
                <c:pt idx="19">
                  <c:v>钠/(mg/L)</c:v>
                </c:pt>
                <c:pt idx="20">
                  <c:v>亚硝酸盐/(mg/L)</c:v>
                </c:pt>
                <c:pt idx="21">
                  <c:v>氰化物/(mg/L)</c:v>
                </c:pt>
                <c:pt idx="22">
                  <c:v>氟化物/(mg/L)</c:v>
                </c:pt>
                <c:pt idx="23">
                  <c:v>碘化物/(mg/L)</c:v>
                </c:pt>
                <c:pt idx="24">
                  <c:v>汞/(mg/L)</c:v>
                </c:pt>
                <c:pt idx="25">
                  <c:v>砷/(mg/L)</c:v>
                </c:pt>
                <c:pt idx="26">
                  <c:v>硒/(mg/L)</c:v>
                </c:pt>
                <c:pt idx="27">
                  <c:v>镉/(mg/L)</c:v>
                </c:pt>
                <c:pt idx="28">
                  <c:v>铬（六价）/(mg/L)</c:v>
                </c:pt>
                <c:pt idx="29">
                  <c:v>铅/(mg/L)</c:v>
                </c:pt>
                <c:pt idx="30">
                  <c:v>三氯甲烷/(μg/L)</c:v>
                </c:pt>
                <c:pt idx="31">
                  <c:v>四氯化碳/(μg/L)</c:v>
                </c:pt>
                <c:pt idx="32">
                  <c:v>苯/(μg/L)</c:v>
                </c:pt>
                <c:pt idx="33">
                  <c:v>甲苯/(μg/L)</c:v>
                </c:pt>
                <c:pt idx="34">
                  <c:v>总大肠菌群，MPN/100mL</c:v>
                </c:pt>
                <c:pt idx="35">
                  <c:v>菌落总数，CFU/mL</c:v>
                </c:pt>
                <c:pt idx="36">
                  <c:v>硝酸盐</c:v>
                </c:pt>
              </c:strCache>
            </c:strRef>
          </c:cat>
          <c:val>
            <c:numRef>
              <c:f>Sheet1!$H$2:$H$38</c:f>
              <c:numCache>
                <c:formatCode>General</c:formatCode>
                <c:ptCount val="37"/>
                <c:pt idx="0">
                  <c:v>7.68</c:v>
                </c:pt>
                <c:pt idx="1">
                  <c:v>5</c:v>
                </c:pt>
                <c:pt idx="2">
                  <c:v>0</c:v>
                </c:pt>
                <c:pt idx="3">
                  <c:v>0</c:v>
                </c:pt>
                <c:pt idx="4">
                  <c:v>0.3</c:v>
                </c:pt>
                <c:pt idx="5">
                  <c:v>968</c:v>
                </c:pt>
                <c:pt idx="6">
                  <c:v>2623</c:v>
                </c:pt>
                <c:pt idx="7">
                  <c:v>808</c:v>
                </c:pt>
                <c:pt idx="8">
                  <c:v>465</c:v>
                </c:pt>
                <c:pt idx="9">
                  <c:v>0.01</c:v>
                </c:pt>
                <c:pt idx="10">
                  <c:v>0.08</c:v>
                </c:pt>
                <c:pt idx="11">
                  <c:v>0</c:v>
                </c:pt>
                <c:pt idx="12">
                  <c:v>0.05</c:v>
                </c:pt>
                <c:pt idx="13">
                  <c:v>0.521</c:v>
                </c:pt>
                <c:pt idx="14">
                  <c:v>0.0005</c:v>
                </c:pt>
                <c:pt idx="15">
                  <c:v>0.05</c:v>
                </c:pt>
                <c:pt idx="16">
                  <c:v>0.5</c:v>
                </c:pt>
                <c:pt idx="17">
                  <c:v>0.642</c:v>
                </c:pt>
                <c:pt idx="18">
                  <c:v>0.005</c:v>
                </c:pt>
                <c:pt idx="19">
                  <c:v>423</c:v>
                </c:pt>
                <c:pt idx="20">
                  <c:v>0.0113</c:v>
                </c:pt>
                <c:pt idx="21">
                  <c:v>0.004</c:v>
                </c:pt>
                <c:pt idx="22">
                  <c:v>0.758</c:v>
                </c:pt>
                <c:pt idx="23">
                  <c:v>0.05</c:v>
                </c:pt>
                <c:pt idx="24">
                  <c:v>0</c:v>
                </c:pt>
                <c:pt idx="25">
                  <c:v>0</c:v>
                </c:pt>
                <c:pt idx="26">
                  <c:v>0</c:v>
                </c:pt>
                <c:pt idx="27">
                  <c:v>0</c:v>
                </c:pt>
                <c:pt idx="28">
                  <c:v>0.004</c:v>
                </c:pt>
                <c:pt idx="29">
                  <c:v>0</c:v>
                </c:pt>
                <c:pt idx="30">
                  <c:v>1.4</c:v>
                </c:pt>
                <c:pt idx="31">
                  <c:v>1.5</c:v>
                </c:pt>
                <c:pt idx="32">
                  <c:v>1.4</c:v>
                </c:pt>
                <c:pt idx="33">
                  <c:v>1.4</c:v>
                </c:pt>
                <c:pt idx="34">
                  <c:v>0</c:v>
                </c:pt>
                <c:pt idx="35">
                  <c:v>55</c:v>
                </c:pt>
                <c:pt idx="36">
                  <c:v>5.39</c:v>
                </c:pt>
              </c:numCache>
            </c:numRef>
          </c:val>
          <c:smooth val="0"/>
        </c:ser>
        <c:ser>
          <c:idx val="2"/>
          <c:order val="2"/>
          <c:tx>
            <c:strRef>
              <c:f>Sheet1!$I$1</c:f>
              <c:strCache>
                <c:ptCount val="1"/>
                <c:pt idx="0">
                  <c:v>定国村地下水检测值</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delete val="1"/>
          </c:dLbls>
          <c:cat>
            <c:strRef>
              <c:f>Sheet1!$G$2:$G$38</c:f>
              <c:strCache>
                <c:ptCount val="37"/>
                <c:pt idx="0">
                  <c:v>pH</c:v>
                </c:pt>
                <c:pt idx="1">
                  <c:v>色度</c:v>
                </c:pt>
                <c:pt idx="2">
                  <c:v>臭和味</c:v>
                </c:pt>
                <c:pt idx="3">
                  <c:v>肉眼可见物</c:v>
                </c:pt>
                <c:pt idx="4">
                  <c:v>浑浊度</c:v>
                </c:pt>
                <c:pt idx="5">
                  <c:v>总硬度（以CaCO3计/(mg/L)）</c:v>
                </c:pt>
                <c:pt idx="6">
                  <c:v>溶解性总固体/(mg/L)</c:v>
                </c:pt>
                <c:pt idx="7">
                  <c:v>硫酸盐/(mg/L)</c:v>
                </c:pt>
                <c:pt idx="8">
                  <c:v>氯化物/(mg/L)</c:v>
                </c:pt>
                <c:pt idx="9">
                  <c:v>铁/(mg/L)</c:v>
                </c:pt>
                <c:pt idx="10">
                  <c:v>锰/(mg/L)</c:v>
                </c:pt>
                <c:pt idx="11">
                  <c:v>铜/(mg/L)</c:v>
                </c:pt>
                <c:pt idx="12">
                  <c:v>锌/(mg/L)</c:v>
                </c:pt>
                <c:pt idx="13">
                  <c:v>铝/(mg/L)</c:v>
                </c:pt>
                <c:pt idx="14">
                  <c:v>挥发性酚类/(mg/L)</c:v>
                </c:pt>
                <c:pt idx="15">
                  <c:v>阴离子表面活性剂/(mg/L)</c:v>
                </c:pt>
                <c:pt idx="16">
                  <c:v>耗氧量/(mg/L)</c:v>
                </c:pt>
                <c:pt idx="17">
                  <c:v>氨氮/(mg/L)</c:v>
                </c:pt>
                <c:pt idx="18">
                  <c:v>硫化物/(mg/L)</c:v>
                </c:pt>
                <c:pt idx="19">
                  <c:v>钠/(mg/L)</c:v>
                </c:pt>
                <c:pt idx="20">
                  <c:v>亚硝酸盐/(mg/L)</c:v>
                </c:pt>
                <c:pt idx="21">
                  <c:v>氰化物/(mg/L)</c:v>
                </c:pt>
                <c:pt idx="22">
                  <c:v>氟化物/(mg/L)</c:v>
                </c:pt>
                <c:pt idx="23">
                  <c:v>碘化物/(mg/L)</c:v>
                </c:pt>
                <c:pt idx="24">
                  <c:v>汞/(mg/L)</c:v>
                </c:pt>
                <c:pt idx="25">
                  <c:v>砷/(mg/L)</c:v>
                </c:pt>
                <c:pt idx="26">
                  <c:v>硒/(mg/L)</c:v>
                </c:pt>
                <c:pt idx="27">
                  <c:v>镉/(mg/L)</c:v>
                </c:pt>
                <c:pt idx="28">
                  <c:v>铬（六价）/(mg/L)</c:v>
                </c:pt>
                <c:pt idx="29">
                  <c:v>铅/(mg/L)</c:v>
                </c:pt>
                <c:pt idx="30">
                  <c:v>三氯甲烷/(μg/L)</c:v>
                </c:pt>
                <c:pt idx="31">
                  <c:v>四氯化碳/(μg/L)</c:v>
                </c:pt>
                <c:pt idx="32">
                  <c:v>苯/(μg/L)</c:v>
                </c:pt>
                <c:pt idx="33">
                  <c:v>甲苯/(μg/L)</c:v>
                </c:pt>
                <c:pt idx="34">
                  <c:v>总大肠菌群，MPN/100mL</c:v>
                </c:pt>
                <c:pt idx="35">
                  <c:v>菌落总数，CFU/mL</c:v>
                </c:pt>
                <c:pt idx="36">
                  <c:v>硝酸盐</c:v>
                </c:pt>
              </c:strCache>
            </c:strRef>
          </c:cat>
          <c:val>
            <c:numRef>
              <c:f>Sheet1!$I$2:$I$38</c:f>
              <c:numCache>
                <c:formatCode>General</c:formatCode>
                <c:ptCount val="37"/>
                <c:pt idx="0">
                  <c:v>7.99</c:v>
                </c:pt>
                <c:pt idx="1">
                  <c:v>5</c:v>
                </c:pt>
                <c:pt idx="2">
                  <c:v>0</c:v>
                </c:pt>
                <c:pt idx="3">
                  <c:v>0</c:v>
                </c:pt>
                <c:pt idx="4">
                  <c:v>0.5</c:v>
                </c:pt>
                <c:pt idx="5">
                  <c:v>614</c:v>
                </c:pt>
                <c:pt idx="6">
                  <c:v>1586</c:v>
                </c:pt>
                <c:pt idx="7">
                  <c:v>396</c:v>
                </c:pt>
                <c:pt idx="8">
                  <c:v>350</c:v>
                </c:pt>
                <c:pt idx="9">
                  <c:v>0.01</c:v>
                </c:pt>
                <c:pt idx="10">
                  <c:v>0.19</c:v>
                </c:pt>
                <c:pt idx="11">
                  <c:v>0</c:v>
                </c:pt>
                <c:pt idx="12">
                  <c:v>0.05</c:v>
                </c:pt>
                <c:pt idx="13">
                  <c:v>0.064</c:v>
                </c:pt>
                <c:pt idx="14">
                  <c:v>0.0003</c:v>
                </c:pt>
                <c:pt idx="15">
                  <c:v>0.05</c:v>
                </c:pt>
                <c:pt idx="16">
                  <c:v>0.5</c:v>
                </c:pt>
                <c:pt idx="17">
                  <c:v>0.041</c:v>
                </c:pt>
                <c:pt idx="18">
                  <c:v>0.005</c:v>
                </c:pt>
                <c:pt idx="19">
                  <c:v>343</c:v>
                </c:pt>
                <c:pt idx="20">
                  <c:v>0.004</c:v>
                </c:pt>
                <c:pt idx="21">
                  <c:v>0.001</c:v>
                </c:pt>
                <c:pt idx="22">
                  <c:v>0.43</c:v>
                </c:pt>
                <c:pt idx="23">
                  <c:v>0.05</c:v>
                </c:pt>
                <c:pt idx="24">
                  <c:v>0</c:v>
                </c:pt>
                <c:pt idx="25">
                  <c:v>0</c:v>
                </c:pt>
                <c:pt idx="26">
                  <c:v>0</c:v>
                </c:pt>
                <c:pt idx="27">
                  <c:v>0</c:v>
                </c:pt>
                <c:pt idx="28">
                  <c:v>0.004</c:v>
                </c:pt>
                <c:pt idx="29">
                  <c:v>0</c:v>
                </c:pt>
                <c:pt idx="30">
                  <c:v>3.3</c:v>
                </c:pt>
                <c:pt idx="31">
                  <c:v>1.5</c:v>
                </c:pt>
                <c:pt idx="32">
                  <c:v>1.4</c:v>
                </c:pt>
                <c:pt idx="33">
                  <c:v>1.4</c:v>
                </c:pt>
                <c:pt idx="34">
                  <c:v>0</c:v>
                </c:pt>
                <c:pt idx="35">
                  <c:v>0</c:v>
                </c:pt>
                <c:pt idx="36">
                  <c:v>0</c:v>
                </c:pt>
              </c:numCache>
            </c:numRef>
          </c:val>
          <c:smooth val="0"/>
        </c:ser>
        <c:ser>
          <c:idx val="3"/>
          <c:order val="3"/>
          <c:tx>
            <c:strRef>
              <c:f>Sheet1!$J$1</c:f>
              <c:strCache>
                <c:ptCount val="1"/>
                <c:pt idx="0">
                  <c:v>地下水Ⅲ类标准</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dLbls>
            <c:delete val="1"/>
          </c:dLbls>
          <c:cat>
            <c:strRef>
              <c:f>Sheet1!$G$2:$G$38</c:f>
              <c:strCache>
                <c:ptCount val="37"/>
                <c:pt idx="0">
                  <c:v>pH</c:v>
                </c:pt>
                <c:pt idx="1">
                  <c:v>色度</c:v>
                </c:pt>
                <c:pt idx="2">
                  <c:v>臭和味</c:v>
                </c:pt>
                <c:pt idx="3">
                  <c:v>肉眼可见物</c:v>
                </c:pt>
                <c:pt idx="4">
                  <c:v>浑浊度</c:v>
                </c:pt>
                <c:pt idx="5">
                  <c:v>总硬度（以CaCO3计/(mg/L)）</c:v>
                </c:pt>
                <c:pt idx="6">
                  <c:v>溶解性总固体/(mg/L)</c:v>
                </c:pt>
                <c:pt idx="7">
                  <c:v>硫酸盐/(mg/L)</c:v>
                </c:pt>
                <c:pt idx="8">
                  <c:v>氯化物/(mg/L)</c:v>
                </c:pt>
                <c:pt idx="9">
                  <c:v>铁/(mg/L)</c:v>
                </c:pt>
                <c:pt idx="10">
                  <c:v>锰/(mg/L)</c:v>
                </c:pt>
                <c:pt idx="11">
                  <c:v>铜/(mg/L)</c:v>
                </c:pt>
                <c:pt idx="12">
                  <c:v>锌/(mg/L)</c:v>
                </c:pt>
                <c:pt idx="13">
                  <c:v>铝/(mg/L)</c:v>
                </c:pt>
                <c:pt idx="14">
                  <c:v>挥发性酚类/(mg/L)</c:v>
                </c:pt>
                <c:pt idx="15">
                  <c:v>阴离子表面活性剂/(mg/L)</c:v>
                </c:pt>
                <c:pt idx="16">
                  <c:v>耗氧量/(mg/L)</c:v>
                </c:pt>
                <c:pt idx="17">
                  <c:v>氨氮/(mg/L)</c:v>
                </c:pt>
                <c:pt idx="18">
                  <c:v>硫化物/(mg/L)</c:v>
                </c:pt>
                <c:pt idx="19">
                  <c:v>钠/(mg/L)</c:v>
                </c:pt>
                <c:pt idx="20">
                  <c:v>亚硝酸盐/(mg/L)</c:v>
                </c:pt>
                <c:pt idx="21">
                  <c:v>氰化物/(mg/L)</c:v>
                </c:pt>
                <c:pt idx="22">
                  <c:v>氟化物/(mg/L)</c:v>
                </c:pt>
                <c:pt idx="23">
                  <c:v>碘化物/(mg/L)</c:v>
                </c:pt>
                <c:pt idx="24">
                  <c:v>汞/(mg/L)</c:v>
                </c:pt>
                <c:pt idx="25">
                  <c:v>砷/(mg/L)</c:v>
                </c:pt>
                <c:pt idx="26">
                  <c:v>硒/(mg/L)</c:v>
                </c:pt>
                <c:pt idx="27">
                  <c:v>镉/(mg/L)</c:v>
                </c:pt>
                <c:pt idx="28">
                  <c:v>铬（六价）/(mg/L)</c:v>
                </c:pt>
                <c:pt idx="29">
                  <c:v>铅/(mg/L)</c:v>
                </c:pt>
                <c:pt idx="30">
                  <c:v>三氯甲烷/(μg/L)</c:v>
                </c:pt>
                <c:pt idx="31">
                  <c:v>四氯化碳/(μg/L)</c:v>
                </c:pt>
                <c:pt idx="32">
                  <c:v>苯/(μg/L)</c:v>
                </c:pt>
                <c:pt idx="33">
                  <c:v>甲苯/(μg/L)</c:v>
                </c:pt>
                <c:pt idx="34">
                  <c:v>总大肠菌群，MPN/100mL</c:v>
                </c:pt>
                <c:pt idx="35">
                  <c:v>菌落总数，CFU/mL</c:v>
                </c:pt>
                <c:pt idx="36">
                  <c:v>硝酸盐</c:v>
                </c:pt>
              </c:strCache>
            </c:strRef>
          </c:cat>
          <c:val>
            <c:numRef>
              <c:f>Sheet1!$J$2:$J$38</c:f>
              <c:numCache>
                <c:formatCode>General</c:formatCode>
                <c:ptCount val="3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numCache>
            </c:numRef>
          </c:val>
          <c:smooth val="0"/>
        </c:ser>
        <c:dLbls>
          <c:showLegendKey val="0"/>
          <c:showVal val="0"/>
          <c:showCatName val="0"/>
          <c:showSerName val="0"/>
          <c:showPercent val="0"/>
          <c:showBubbleSize val="0"/>
        </c:dLbls>
        <c:marker val="1"/>
        <c:smooth val="0"/>
        <c:axId val="489828293"/>
        <c:axId val="803168800"/>
        <c:extLst>
          <c:ext xmlns:c15="http://schemas.microsoft.com/office/drawing/2012/chart" uri="{02D57815-91ED-43cb-92C2-25804820EDAC}">
            <c15:filteredLineSeries>
              <c15:ser>
                <c:idx val="0"/>
                <c:order val="0"/>
                <c:tx>
                  <c:strRef>
                    <c:extLst>
                      <c:ext uri="{02D57815-91ED-43cb-92C2-25804820EDAC}">
                        <c15:formulaRef>
                          <c15:sqref>Sheet1!$G$1</c15:sqref>
                        </c15:formulaRef>
                      </c:ext>
                    </c:extLst>
                    <c:strCache>
                      <c:ptCount val="1"/>
                      <c:pt idx="0">
                        <c:v>测试项目</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delete val="1"/>
                </c:dLbls>
                <c:cat>
                  <c:strRef>
                    <c:extLst>
                      <c:ext uri="{02D57815-91ED-43cb-92C2-25804820EDAC}">
                        <c15:fullRef>
                          <c15:sqref/>
                        </c15:fullRef>
                        <c15:formulaRef>
                          <c15:sqref>Sheet1!$G$2:$G$38</c15:sqref>
                        </c15:formulaRef>
                      </c:ext>
                    </c:extLst>
                    <c:strCache>
                      <c:ptCount val="37"/>
                      <c:pt idx="0">
                        <c:v>pH</c:v>
                      </c:pt>
                      <c:pt idx="1">
                        <c:v>色度</c:v>
                      </c:pt>
                      <c:pt idx="2">
                        <c:v>臭和味</c:v>
                      </c:pt>
                      <c:pt idx="3">
                        <c:v>肉眼可见物</c:v>
                      </c:pt>
                      <c:pt idx="4">
                        <c:v>浑浊度</c:v>
                      </c:pt>
                      <c:pt idx="5">
                        <c:v>总硬度（以CaCO3计/(mg/L)）</c:v>
                      </c:pt>
                      <c:pt idx="6">
                        <c:v>溶解性总固体/(mg/L)</c:v>
                      </c:pt>
                      <c:pt idx="7">
                        <c:v>硫酸盐/(mg/L)</c:v>
                      </c:pt>
                      <c:pt idx="8">
                        <c:v>氯化物/(mg/L)</c:v>
                      </c:pt>
                      <c:pt idx="9">
                        <c:v>铁/(mg/L)</c:v>
                      </c:pt>
                      <c:pt idx="10">
                        <c:v>锰/(mg/L)</c:v>
                      </c:pt>
                      <c:pt idx="11">
                        <c:v>铜/(mg/L)</c:v>
                      </c:pt>
                      <c:pt idx="12">
                        <c:v>锌/(mg/L)</c:v>
                      </c:pt>
                      <c:pt idx="13">
                        <c:v>铝/(mg/L)</c:v>
                      </c:pt>
                      <c:pt idx="14">
                        <c:v>挥发性酚类/(mg/L)</c:v>
                      </c:pt>
                      <c:pt idx="15">
                        <c:v>阴离子表面活性剂/(mg/L)</c:v>
                      </c:pt>
                      <c:pt idx="16">
                        <c:v>耗氧量/(mg/L)</c:v>
                      </c:pt>
                      <c:pt idx="17">
                        <c:v>氨氮/(mg/L)</c:v>
                      </c:pt>
                      <c:pt idx="18">
                        <c:v>硫化物/(mg/L)</c:v>
                      </c:pt>
                      <c:pt idx="19">
                        <c:v>钠/(mg/L)</c:v>
                      </c:pt>
                      <c:pt idx="20">
                        <c:v>亚硝酸盐/(mg/L)</c:v>
                      </c:pt>
                      <c:pt idx="21">
                        <c:v>氰化物/(mg/L)</c:v>
                      </c:pt>
                      <c:pt idx="22">
                        <c:v>氟化物/(mg/L)</c:v>
                      </c:pt>
                      <c:pt idx="23">
                        <c:v>碘化物/(mg/L)</c:v>
                      </c:pt>
                      <c:pt idx="24">
                        <c:v>汞/(mg/L)</c:v>
                      </c:pt>
                      <c:pt idx="25">
                        <c:v>砷/(mg/L)</c:v>
                      </c:pt>
                      <c:pt idx="26">
                        <c:v>硒/(mg/L)</c:v>
                      </c:pt>
                      <c:pt idx="27">
                        <c:v>镉/(mg/L)</c:v>
                      </c:pt>
                      <c:pt idx="28">
                        <c:v>铬（六价）/(mg/L)</c:v>
                      </c:pt>
                      <c:pt idx="29">
                        <c:v>铅/(mg/L)</c:v>
                      </c:pt>
                      <c:pt idx="30">
                        <c:v>三氯甲烷/(μg/L)</c:v>
                      </c:pt>
                      <c:pt idx="31">
                        <c:v>四氯化碳/(μg/L)</c:v>
                      </c:pt>
                      <c:pt idx="32">
                        <c:v>苯/(μg/L)</c:v>
                      </c:pt>
                      <c:pt idx="33">
                        <c:v>甲苯/(μg/L)</c:v>
                      </c:pt>
                      <c:pt idx="34">
                        <c:v>总大肠菌群，MPN/100mL</c:v>
                      </c:pt>
                      <c:pt idx="35">
                        <c:v>菌落总数，CFU/mL</c:v>
                      </c:pt>
                      <c:pt idx="36">
                        <c:v>硝酸盐</c:v>
                      </c:pt>
                    </c:strCache>
                  </c:strRef>
                </c:cat>
                <c:val>
                  <c:numRef>
                    <c:extLst>
                      <c:ext uri="{02D57815-91ED-43cb-92C2-25804820EDAC}">
                        <c15:formulaRef>
                          <c15:sqref>Sheet1!$G$2:$G$38</c15:sqref>
                        </c15:formulaRef>
                      </c:ext>
                    </c:extLst>
                    <c:numCache>
                      <c:formatCode>General</c:formatCode>
                      <c:ptCount val="37"/>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numCache>
                  </c:numRef>
                </c:val>
                <c:smooth val="0"/>
              </c15:ser>
            </c15:filteredLineSeries>
          </c:ext>
        </c:extLst>
      </c:lineChart>
      <c:catAx>
        <c:axId val="489828293"/>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803168800"/>
        <c:crosses val="autoZero"/>
        <c:auto val="1"/>
        <c:lblAlgn val="ctr"/>
        <c:lblOffset val="100"/>
        <c:noMultiLvlLbl val="0"/>
      </c:catAx>
      <c:valAx>
        <c:axId val="803168800"/>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489828293"/>
        <c:crosses val="autoZero"/>
        <c:crossBetween val="between"/>
      </c:valAx>
      <c:spPr>
        <a:pattFill prst="dashDnDiag">
          <a:fgClr>
            <a:schemeClr val="bg1">
              <a:lumMod val="95000"/>
            </a:schemeClr>
          </a:fgClr>
          <a:bgClr>
            <a:srgbClr val="FFFFFF"/>
          </a:bgClr>
        </a:pattFill>
        <a:ln>
          <a:noFill/>
        </a:ln>
        <a:effectLst/>
      </c:spPr>
    </c:plotArea>
    <c:legend>
      <c:legendPos val="b"/>
      <c:layout/>
      <c:overlay val="0"/>
      <c:spPr>
        <a:noFill/>
        <a:ln>
          <a:noFill/>
        </a:ln>
        <a:effectLst/>
      </c:spPr>
      <c:txPr>
        <a:bodyPr rot="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2020-11-25T10:35:00Z</dcterms:created>
  <dc:creator>Administrator</dc:creator>
  <cp:lastModifiedBy>老骥伏枥</cp:lastModifiedBy>
  <dcterms:modified xsi:type="dcterms:W3CDTF">2022-01-22T01:40:24Z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AEAA64FC48994DB0B79B5E05D3301603</vt:lpwstr>
  </property>
</Properties>
</file>